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D1507">
      <w:pPr>
        <w:spacing w:before="3" w:line="227" w:lineRule="auto"/>
        <w:jc w:val="center"/>
        <w:outlineLvl w:val="1"/>
        <w:rPr>
          <w:rFonts w:hint="eastAsia" w:ascii="黑体" w:hAnsi="黑体" w:eastAsia="黑体" w:cs="黑体"/>
          <w:spacing w:val="7"/>
          <w:sz w:val="36"/>
          <w:szCs w:val="36"/>
          <w:lang w:eastAsia="zh-CN"/>
        </w:rPr>
      </w:pPr>
      <w:r>
        <w:rPr>
          <w:rFonts w:hint="eastAsia" w:ascii="黑体" w:hAnsi="黑体" w:eastAsia="黑体" w:cs="黑体"/>
          <w:spacing w:val="7"/>
          <w:sz w:val="36"/>
          <w:szCs w:val="36"/>
          <w:lang w:eastAsia="zh-CN"/>
        </w:rPr>
        <w:t>第一部分：核心模块（药品、耗材、设备监管）</w:t>
      </w:r>
    </w:p>
    <w:p w14:paraId="4E7273AC">
      <w:pPr>
        <w:spacing w:before="3" w:line="227" w:lineRule="auto"/>
        <w:ind w:left="1009"/>
        <w:outlineLvl w:val="1"/>
        <w:rPr>
          <w:rFonts w:ascii="黑体" w:hAnsi="黑体" w:eastAsia="黑体" w:cs="黑体"/>
          <w:spacing w:val="7"/>
          <w:sz w:val="31"/>
          <w:szCs w:val="31"/>
        </w:rPr>
      </w:pPr>
    </w:p>
    <w:p w14:paraId="0751FEF2">
      <w:pPr>
        <w:spacing w:before="3" w:line="227" w:lineRule="auto"/>
        <w:ind w:left="1009"/>
        <w:outlineLvl w:val="1"/>
        <w:rPr>
          <w:rFonts w:ascii="黑体" w:hAnsi="黑体" w:eastAsia="黑体" w:cs="黑体"/>
          <w:sz w:val="31"/>
          <w:szCs w:val="31"/>
        </w:rPr>
      </w:pPr>
      <w:r>
        <w:rPr>
          <w:rFonts w:ascii="黑体" w:hAnsi="黑体" w:eastAsia="黑体" w:cs="黑体"/>
          <w:spacing w:val="7"/>
          <w:sz w:val="31"/>
          <w:szCs w:val="31"/>
        </w:rPr>
        <w:t>一、预警模型设置</w:t>
      </w:r>
    </w:p>
    <w:p w14:paraId="213BD446">
      <w:pPr>
        <w:pStyle w:val="2"/>
        <w:spacing w:before="175" w:line="313" w:lineRule="auto"/>
        <w:ind w:left="366" w:right="256" w:firstLine="675"/>
        <w:jc w:val="both"/>
      </w:pPr>
      <w:r>
        <w:rPr>
          <w:spacing w:val="7"/>
        </w:rPr>
        <w:t>医院自律端以药品、耗材、医用设备为三大核心监管重点，</w:t>
      </w:r>
      <w:r>
        <w:rPr>
          <w:spacing w:val="-2"/>
        </w:rPr>
        <w:t>构建全流程实时预警模型。在药品监管方面，动态</w:t>
      </w:r>
      <w:r>
        <w:rPr>
          <w:spacing w:val="-3"/>
        </w:rPr>
        <w:t>监测新药准入、</w:t>
      </w:r>
      <w:r>
        <w:rPr>
          <w:spacing w:val="5"/>
        </w:rPr>
        <w:t>药品采购、药品使用等关键指标；在耗材监管方面，重点围绕耗材申请、耗材采购、耗材使用等情况；在医用设备监管方面，聚</w:t>
      </w:r>
      <w:r>
        <w:rPr>
          <w:spacing w:val="8"/>
        </w:rPr>
        <w:t>焦设备采购、实际使用效能等环节。</w:t>
      </w:r>
    </w:p>
    <w:tbl>
      <w:tblPr>
        <w:tblStyle w:val="6"/>
        <w:tblW w:w="95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1895"/>
        <w:gridCol w:w="3489"/>
        <w:gridCol w:w="2606"/>
      </w:tblGrid>
      <w:tr w14:paraId="4ED1AC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1554" w:type="dxa"/>
            <w:vAlign w:val="top"/>
          </w:tcPr>
          <w:p w14:paraId="19579F60">
            <w:pPr>
              <w:spacing w:before="179" w:line="226" w:lineRule="auto"/>
              <w:ind w:left="146"/>
              <w:rPr>
                <w:rFonts w:ascii="黑体" w:hAnsi="黑体" w:eastAsia="黑体" w:cs="黑体"/>
                <w:sz w:val="31"/>
                <w:szCs w:val="31"/>
              </w:rPr>
            </w:pPr>
            <w:r>
              <w:rPr>
                <w:rFonts w:ascii="黑体" w:hAnsi="黑体" w:eastAsia="黑体" w:cs="黑体"/>
                <w:spacing w:val="6"/>
                <w:sz w:val="31"/>
                <w:szCs w:val="31"/>
              </w:rPr>
              <w:t>监管场景</w:t>
            </w:r>
          </w:p>
        </w:tc>
        <w:tc>
          <w:tcPr>
            <w:tcW w:w="1895" w:type="dxa"/>
            <w:vAlign w:val="top"/>
          </w:tcPr>
          <w:p w14:paraId="4749C493">
            <w:pPr>
              <w:spacing w:before="179" w:line="226" w:lineRule="auto"/>
              <w:ind w:left="321"/>
              <w:rPr>
                <w:rFonts w:ascii="黑体" w:hAnsi="黑体" w:eastAsia="黑体" w:cs="黑体"/>
                <w:sz w:val="31"/>
                <w:szCs w:val="31"/>
              </w:rPr>
            </w:pPr>
            <w:r>
              <w:rPr>
                <w:rFonts w:ascii="黑体" w:hAnsi="黑体" w:eastAsia="黑体" w:cs="黑体"/>
                <w:spacing w:val="5"/>
                <w:sz w:val="31"/>
                <w:szCs w:val="31"/>
              </w:rPr>
              <w:t>预警指标</w:t>
            </w:r>
          </w:p>
        </w:tc>
        <w:tc>
          <w:tcPr>
            <w:tcW w:w="3489" w:type="dxa"/>
            <w:vAlign w:val="top"/>
          </w:tcPr>
          <w:p w14:paraId="3A2A2E5B">
            <w:pPr>
              <w:spacing w:before="179" w:line="226" w:lineRule="auto"/>
              <w:ind w:left="1119"/>
              <w:rPr>
                <w:rFonts w:ascii="黑体" w:hAnsi="黑体" w:eastAsia="黑体" w:cs="黑体"/>
                <w:sz w:val="31"/>
                <w:szCs w:val="31"/>
              </w:rPr>
            </w:pPr>
            <w:r>
              <w:rPr>
                <w:rFonts w:ascii="黑体" w:hAnsi="黑体" w:eastAsia="黑体" w:cs="黑体"/>
                <w:spacing w:val="5"/>
                <w:sz w:val="31"/>
                <w:szCs w:val="31"/>
              </w:rPr>
              <w:t>预警逻辑</w:t>
            </w:r>
          </w:p>
        </w:tc>
        <w:tc>
          <w:tcPr>
            <w:tcW w:w="2606" w:type="dxa"/>
            <w:vAlign w:val="top"/>
          </w:tcPr>
          <w:p w14:paraId="51FEE809">
            <w:pPr>
              <w:spacing w:before="179" w:line="226" w:lineRule="auto"/>
              <w:ind w:left="671"/>
              <w:rPr>
                <w:rFonts w:ascii="黑体" w:hAnsi="黑体" w:eastAsia="黑体" w:cs="黑体"/>
                <w:sz w:val="31"/>
                <w:szCs w:val="31"/>
              </w:rPr>
            </w:pPr>
            <w:r>
              <w:rPr>
                <w:rFonts w:ascii="黑体" w:hAnsi="黑体" w:eastAsia="黑体" w:cs="黑体"/>
                <w:spacing w:val="6"/>
                <w:sz w:val="31"/>
                <w:szCs w:val="31"/>
              </w:rPr>
              <w:t>参考阈值</w:t>
            </w:r>
          </w:p>
        </w:tc>
      </w:tr>
      <w:tr w14:paraId="5DEA8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2" w:hRule="atLeast"/>
        </w:trPr>
        <w:tc>
          <w:tcPr>
            <w:tcW w:w="1554" w:type="dxa"/>
            <w:vMerge w:val="restart"/>
            <w:tcBorders>
              <w:bottom w:val="nil"/>
            </w:tcBorders>
            <w:vAlign w:val="top"/>
          </w:tcPr>
          <w:p w14:paraId="3C590477">
            <w:pPr>
              <w:spacing w:line="245" w:lineRule="auto"/>
              <w:rPr>
                <w:rFonts w:ascii="Arial"/>
                <w:sz w:val="21"/>
              </w:rPr>
            </w:pPr>
          </w:p>
          <w:p w14:paraId="7042BE7F">
            <w:pPr>
              <w:spacing w:line="245" w:lineRule="auto"/>
              <w:rPr>
                <w:rFonts w:ascii="Arial"/>
                <w:sz w:val="21"/>
              </w:rPr>
            </w:pPr>
          </w:p>
          <w:p w14:paraId="7B76F130">
            <w:pPr>
              <w:spacing w:line="245" w:lineRule="auto"/>
              <w:rPr>
                <w:rFonts w:ascii="Arial"/>
                <w:sz w:val="21"/>
              </w:rPr>
            </w:pPr>
          </w:p>
          <w:p w14:paraId="3E73E858">
            <w:pPr>
              <w:spacing w:line="245" w:lineRule="auto"/>
              <w:rPr>
                <w:rFonts w:ascii="Arial"/>
                <w:sz w:val="21"/>
              </w:rPr>
            </w:pPr>
          </w:p>
          <w:p w14:paraId="2843DA20">
            <w:pPr>
              <w:spacing w:line="246" w:lineRule="auto"/>
              <w:rPr>
                <w:rFonts w:ascii="Arial"/>
                <w:sz w:val="21"/>
              </w:rPr>
            </w:pPr>
          </w:p>
          <w:p w14:paraId="230B3D11">
            <w:pPr>
              <w:spacing w:line="246" w:lineRule="auto"/>
              <w:rPr>
                <w:rFonts w:ascii="Arial"/>
                <w:sz w:val="21"/>
              </w:rPr>
            </w:pPr>
          </w:p>
          <w:p w14:paraId="3397EAA1">
            <w:pPr>
              <w:spacing w:line="246" w:lineRule="auto"/>
              <w:rPr>
                <w:rFonts w:ascii="Arial"/>
                <w:sz w:val="21"/>
              </w:rPr>
            </w:pPr>
          </w:p>
          <w:p w14:paraId="31D11BFC">
            <w:pPr>
              <w:pStyle w:val="7"/>
              <w:spacing w:before="100" w:line="219" w:lineRule="auto"/>
              <w:ind w:left="164"/>
            </w:pPr>
            <w:r>
              <w:rPr>
                <w:spacing w:val="2"/>
              </w:rPr>
              <w:t>药品监管</w:t>
            </w:r>
          </w:p>
        </w:tc>
        <w:tc>
          <w:tcPr>
            <w:tcW w:w="1895" w:type="dxa"/>
            <w:vAlign w:val="top"/>
          </w:tcPr>
          <w:p w14:paraId="09E3919F">
            <w:pPr>
              <w:spacing w:line="284" w:lineRule="auto"/>
              <w:rPr>
                <w:rFonts w:ascii="Arial"/>
                <w:sz w:val="21"/>
              </w:rPr>
            </w:pPr>
          </w:p>
          <w:p w14:paraId="3E4F55DA">
            <w:pPr>
              <w:spacing w:line="285" w:lineRule="auto"/>
              <w:rPr>
                <w:rFonts w:ascii="Arial"/>
                <w:sz w:val="21"/>
              </w:rPr>
            </w:pPr>
          </w:p>
          <w:p w14:paraId="079223CB">
            <w:pPr>
              <w:spacing w:line="285" w:lineRule="auto"/>
              <w:rPr>
                <w:rFonts w:ascii="Arial"/>
                <w:sz w:val="21"/>
              </w:rPr>
            </w:pPr>
          </w:p>
          <w:p w14:paraId="57C82F46">
            <w:pPr>
              <w:pStyle w:val="7"/>
              <w:spacing w:before="101" w:line="219" w:lineRule="auto"/>
              <w:ind w:left="160"/>
            </w:pPr>
            <w:r>
              <w:rPr>
                <w:spacing w:val="6"/>
              </w:rPr>
              <w:t>新药申请量</w:t>
            </w:r>
          </w:p>
        </w:tc>
        <w:tc>
          <w:tcPr>
            <w:tcW w:w="3489" w:type="dxa"/>
            <w:vAlign w:val="top"/>
          </w:tcPr>
          <w:p w14:paraId="39856660">
            <w:pPr>
              <w:pStyle w:val="7"/>
              <w:spacing w:before="76" w:line="252" w:lineRule="auto"/>
              <w:ind w:left="109" w:right="107" w:firstLine="15"/>
              <w:jc w:val="both"/>
            </w:pPr>
            <w:r>
              <w:rPr>
                <w:spacing w:val="15"/>
              </w:rPr>
              <w:t>监测各科室累计申请新</w:t>
            </w:r>
            <w:r>
              <w:rPr>
                <w:spacing w:val="16"/>
              </w:rPr>
              <w:t>药次数，科室在一个新药讨论周期内申请数量超医院规定限额，即触</w:t>
            </w:r>
            <w:r>
              <w:rPr>
                <w:spacing w:val="5"/>
              </w:rPr>
              <w:t>发预警。</w:t>
            </w:r>
          </w:p>
        </w:tc>
        <w:tc>
          <w:tcPr>
            <w:tcW w:w="2606" w:type="dxa"/>
            <w:vAlign w:val="top"/>
          </w:tcPr>
          <w:p w14:paraId="53AD7C32">
            <w:pPr>
              <w:pStyle w:val="7"/>
              <w:spacing w:before="81" w:line="261" w:lineRule="auto"/>
              <w:ind w:left="126" w:right="107" w:firstLine="36"/>
              <w:jc w:val="both"/>
            </w:pPr>
            <w:r>
              <w:rPr>
                <w:spacing w:val="13"/>
              </w:rPr>
              <w:t>以科室为单位</w:t>
            </w:r>
            <w:r>
              <w:rPr>
                <w:spacing w:val="-87"/>
              </w:rPr>
              <w:t xml:space="preserve"> </w:t>
            </w:r>
            <w:r>
              <w:rPr>
                <w:spacing w:val="13"/>
              </w:rPr>
              <w:t>，</w:t>
            </w:r>
            <w:r>
              <w:rPr>
                <w:spacing w:val="-7"/>
              </w:rPr>
              <w:t>黄色预警：达到</w:t>
            </w:r>
            <w:r>
              <w:rPr>
                <w:spacing w:val="-59"/>
              </w:rPr>
              <w:t xml:space="preserve"> </w:t>
            </w:r>
            <w:r>
              <w:rPr>
                <w:rFonts w:ascii="Times New Roman" w:hAnsi="Times New Roman" w:eastAsia="Times New Roman" w:cs="Times New Roman"/>
                <w:spacing w:val="-7"/>
              </w:rPr>
              <w:t>3</w:t>
            </w:r>
            <w:r>
              <w:rPr>
                <w:spacing w:val="-6"/>
              </w:rPr>
              <w:t>次；</w:t>
            </w:r>
          </w:p>
          <w:p w14:paraId="7A6BD029">
            <w:pPr>
              <w:pStyle w:val="7"/>
              <w:spacing w:line="237" w:lineRule="auto"/>
              <w:ind w:left="128" w:right="107" w:hanging="2"/>
              <w:jc w:val="both"/>
            </w:pPr>
            <w:r>
              <w:rPr>
                <w:spacing w:val="-7"/>
              </w:rPr>
              <w:t>红色预警：达到</w:t>
            </w:r>
            <w:r>
              <w:rPr>
                <w:spacing w:val="-58"/>
              </w:rPr>
              <w:t xml:space="preserve"> </w:t>
            </w:r>
            <w:r>
              <w:rPr>
                <w:rFonts w:ascii="Times New Roman" w:hAnsi="Times New Roman" w:eastAsia="Times New Roman" w:cs="Times New Roman"/>
                <w:spacing w:val="-7"/>
              </w:rPr>
              <w:t>5</w:t>
            </w:r>
            <w:r>
              <w:rPr>
                <w:spacing w:val="-7"/>
              </w:rPr>
              <w:t>次。</w:t>
            </w:r>
          </w:p>
        </w:tc>
      </w:tr>
      <w:tr w14:paraId="29E16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1554" w:type="dxa"/>
            <w:vMerge w:val="continue"/>
            <w:tcBorders>
              <w:top w:val="nil"/>
            </w:tcBorders>
            <w:vAlign w:val="top"/>
          </w:tcPr>
          <w:p w14:paraId="352E3669">
            <w:pPr>
              <w:rPr>
                <w:rFonts w:ascii="Arial"/>
                <w:sz w:val="21"/>
              </w:rPr>
            </w:pPr>
          </w:p>
        </w:tc>
        <w:tc>
          <w:tcPr>
            <w:tcW w:w="1895" w:type="dxa"/>
            <w:vAlign w:val="top"/>
          </w:tcPr>
          <w:p w14:paraId="2599C46E">
            <w:pPr>
              <w:spacing w:line="420" w:lineRule="auto"/>
              <w:rPr>
                <w:rFonts w:ascii="Arial"/>
                <w:sz w:val="21"/>
              </w:rPr>
            </w:pPr>
          </w:p>
          <w:p w14:paraId="60B69B33">
            <w:pPr>
              <w:pStyle w:val="7"/>
              <w:spacing w:before="101" w:line="261" w:lineRule="auto"/>
              <w:ind w:left="473" w:right="306" w:hanging="158"/>
            </w:pPr>
            <w:r>
              <w:rPr>
                <w:spacing w:val="6"/>
              </w:rPr>
              <w:t>全院药品周转率</w:t>
            </w:r>
          </w:p>
        </w:tc>
        <w:tc>
          <w:tcPr>
            <w:tcW w:w="3489" w:type="dxa"/>
            <w:vAlign w:val="top"/>
          </w:tcPr>
          <w:p w14:paraId="04C34368">
            <w:pPr>
              <w:pStyle w:val="7"/>
              <w:spacing w:before="83" w:line="249" w:lineRule="auto"/>
              <w:ind w:left="119" w:right="104" w:firstLine="6"/>
              <w:jc w:val="both"/>
            </w:pPr>
            <w:r>
              <w:rPr>
                <w:spacing w:val="15"/>
              </w:rPr>
              <w:t>监测每月全院药品周转</w:t>
            </w:r>
            <w:r>
              <w:rPr>
                <w:spacing w:val="6"/>
              </w:rPr>
              <w:t>率（月药品消耗金额</w:t>
            </w:r>
            <w:r>
              <w:rPr>
                <w:rFonts w:ascii="Times New Roman" w:hAnsi="Times New Roman" w:eastAsia="Times New Roman" w:cs="Times New Roman"/>
                <w:spacing w:val="6"/>
              </w:rPr>
              <w:t>/</w:t>
            </w:r>
            <w:r>
              <w:rPr>
                <w:spacing w:val="6"/>
              </w:rPr>
              <w:t>月</w:t>
            </w:r>
            <w:r>
              <w:rPr>
                <w:spacing w:val="5"/>
              </w:rPr>
              <w:t>底药品库存金额</w:t>
            </w:r>
            <w:r>
              <w:rPr>
                <w:spacing w:val="-100"/>
              </w:rPr>
              <w:t>），</w:t>
            </w:r>
            <w:r>
              <w:rPr>
                <w:spacing w:val="5"/>
              </w:rPr>
              <w:t>对周</w:t>
            </w:r>
            <w:r>
              <w:rPr>
                <w:spacing w:val="6"/>
              </w:rPr>
              <w:t>转率大小实施预警。</w:t>
            </w:r>
          </w:p>
        </w:tc>
        <w:tc>
          <w:tcPr>
            <w:tcW w:w="2606" w:type="dxa"/>
            <w:vAlign w:val="top"/>
          </w:tcPr>
          <w:p w14:paraId="76FB2637">
            <w:pPr>
              <w:spacing w:line="416" w:lineRule="auto"/>
              <w:rPr>
                <w:rFonts w:ascii="Arial"/>
                <w:sz w:val="21"/>
              </w:rPr>
            </w:pPr>
          </w:p>
          <w:p w14:paraId="4E1B2A78">
            <w:pPr>
              <w:pStyle w:val="7"/>
              <w:spacing w:before="101" w:line="274" w:lineRule="auto"/>
              <w:ind w:left="143" w:right="109" w:hanging="17"/>
            </w:pPr>
            <w:r>
              <w:rPr>
                <w:spacing w:val="27"/>
              </w:rPr>
              <w:t>红色预警：小于</w:t>
            </w:r>
            <w:r>
              <w:rPr>
                <w:rFonts w:ascii="Times New Roman" w:hAnsi="Times New Roman" w:eastAsia="Times New Roman" w:cs="Times New Roman"/>
                <w:spacing w:val="-7"/>
              </w:rPr>
              <w:t>1.0</w:t>
            </w:r>
            <w:r>
              <w:rPr>
                <w:spacing w:val="-7"/>
              </w:rPr>
              <w:t>。</w:t>
            </w:r>
          </w:p>
        </w:tc>
      </w:tr>
    </w:tbl>
    <w:p w14:paraId="70DA6B84">
      <w:pPr>
        <w:pStyle w:val="2"/>
        <w:spacing w:before="204" w:line="190" w:lineRule="exact"/>
        <w:ind w:left="377"/>
        <w:rPr>
          <w:sz w:val="28"/>
          <w:szCs w:val="28"/>
        </w:rPr>
      </w:pPr>
      <w:r>
        <w:pict>
          <v:shape id="_x0000_s1026" o:spid="_x0000_s1026" o:spt="202" type="#_x0000_t202" style="position:absolute;left:0pt;margin-left:38.15pt;margin-top:2pt;height:20.6pt;width:8.55pt;z-index:251659264;mso-width-relative:page;mso-height-relative:page;" filled="f" stroked="f" coordsize="21600,21600">
            <v:path/>
            <v:fill on="f" focussize="0,0"/>
            <v:stroke on="f"/>
            <v:imagedata o:title=""/>
            <o:lock v:ext="edit" aspectratio="f"/>
            <v:textbox inset="0mm,0mm,0mm,0mm">
              <w:txbxContent>
                <w:p w14:paraId="008CB2BE">
                  <w:pPr>
                    <w:spacing w:before="20" w:line="371" w:lineRule="exact"/>
                    <w:jc w:val="right"/>
                    <w:rPr>
                      <w:rFonts w:ascii="Arial" w:hAnsi="Arial" w:eastAsia="Arial" w:cs="Arial"/>
                      <w:sz w:val="28"/>
                      <w:szCs w:val="28"/>
                    </w:rPr>
                  </w:pPr>
                  <w:r>
                    <w:rPr>
                      <w:rFonts w:ascii="Arial" w:hAnsi="Arial" w:eastAsia="Arial" w:cs="Arial"/>
                      <w:spacing w:val="-15"/>
                      <w:w w:val="93"/>
                      <w:position w:val="1"/>
                      <w:sz w:val="28"/>
                      <w:szCs w:val="28"/>
                    </w:rPr>
                    <w:t>2</w:t>
                  </w:r>
                </w:p>
              </w:txbxContent>
            </v:textbox>
          </v:shape>
        </w:pict>
      </w:r>
      <w:r>
        <w:rPr>
          <w:spacing w:val="-12"/>
          <w:position w:val="-4"/>
          <w:sz w:val="28"/>
          <w:szCs w:val="28"/>
        </w:rPr>
        <w:t>—</w:t>
      </w:r>
      <w:r>
        <w:rPr>
          <w:spacing w:val="7"/>
          <w:position w:val="-4"/>
          <w:sz w:val="28"/>
          <w:szCs w:val="28"/>
        </w:rPr>
        <w:t xml:space="preserve">   </w:t>
      </w:r>
      <w:r>
        <w:rPr>
          <w:spacing w:val="-12"/>
          <w:position w:val="-4"/>
          <w:sz w:val="28"/>
          <w:szCs w:val="28"/>
        </w:rPr>
        <w:t>—</w:t>
      </w:r>
    </w:p>
    <w:p w14:paraId="529F1A81">
      <w:pPr>
        <w:spacing w:line="190" w:lineRule="exact"/>
        <w:rPr>
          <w:sz w:val="28"/>
          <w:szCs w:val="28"/>
        </w:rPr>
        <w:sectPr>
          <w:footerReference r:id="rId5" w:type="default"/>
          <w:pgSz w:w="11906" w:h="16839"/>
          <w:pgMar w:top="1431" w:right="1121" w:bottom="400" w:left="1235" w:header="0" w:footer="0" w:gutter="0"/>
          <w:cols w:space="720" w:num="1"/>
        </w:sectPr>
      </w:pPr>
    </w:p>
    <w:p w14:paraId="2ADA4ED0">
      <w:pPr>
        <w:spacing w:before="92"/>
      </w:pPr>
    </w:p>
    <w:p w14:paraId="7FB4BC40">
      <w:pPr>
        <w:spacing w:before="91"/>
      </w:pPr>
    </w:p>
    <w:tbl>
      <w:tblPr>
        <w:tblStyle w:val="6"/>
        <w:tblW w:w="95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1895"/>
        <w:gridCol w:w="3489"/>
        <w:gridCol w:w="2606"/>
      </w:tblGrid>
      <w:tr w14:paraId="0E2F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8" w:hRule="atLeast"/>
        </w:trPr>
        <w:tc>
          <w:tcPr>
            <w:tcW w:w="1554" w:type="dxa"/>
            <w:vMerge w:val="restart"/>
            <w:tcBorders>
              <w:bottom w:val="nil"/>
            </w:tcBorders>
            <w:vAlign w:val="top"/>
          </w:tcPr>
          <w:p w14:paraId="74FA8559">
            <w:pPr>
              <w:spacing w:line="251" w:lineRule="auto"/>
              <w:rPr>
                <w:rFonts w:ascii="Arial"/>
                <w:sz w:val="21"/>
              </w:rPr>
            </w:pPr>
          </w:p>
          <w:p w14:paraId="5EE0C495">
            <w:pPr>
              <w:spacing w:line="251" w:lineRule="auto"/>
              <w:rPr>
                <w:rFonts w:ascii="Arial"/>
                <w:sz w:val="21"/>
              </w:rPr>
            </w:pPr>
          </w:p>
          <w:p w14:paraId="106F98BD">
            <w:pPr>
              <w:spacing w:line="251" w:lineRule="auto"/>
              <w:rPr>
                <w:rFonts w:ascii="Arial"/>
                <w:sz w:val="21"/>
              </w:rPr>
            </w:pPr>
          </w:p>
          <w:p w14:paraId="2618EBAE">
            <w:pPr>
              <w:spacing w:line="251" w:lineRule="auto"/>
              <w:rPr>
                <w:rFonts w:ascii="Arial"/>
                <w:sz w:val="21"/>
              </w:rPr>
            </w:pPr>
          </w:p>
          <w:p w14:paraId="33926E49">
            <w:pPr>
              <w:spacing w:line="252" w:lineRule="auto"/>
              <w:rPr>
                <w:rFonts w:ascii="Arial"/>
                <w:sz w:val="21"/>
              </w:rPr>
            </w:pPr>
          </w:p>
          <w:p w14:paraId="1DC6C706">
            <w:pPr>
              <w:spacing w:line="252" w:lineRule="auto"/>
              <w:rPr>
                <w:rFonts w:ascii="Arial"/>
                <w:sz w:val="21"/>
              </w:rPr>
            </w:pPr>
          </w:p>
          <w:p w14:paraId="6439B67E">
            <w:pPr>
              <w:spacing w:line="252" w:lineRule="auto"/>
              <w:rPr>
                <w:rFonts w:ascii="Arial"/>
                <w:sz w:val="21"/>
              </w:rPr>
            </w:pPr>
          </w:p>
          <w:p w14:paraId="0CD8340F">
            <w:pPr>
              <w:spacing w:line="252" w:lineRule="auto"/>
              <w:rPr>
                <w:rFonts w:ascii="Arial"/>
                <w:sz w:val="21"/>
              </w:rPr>
            </w:pPr>
          </w:p>
          <w:p w14:paraId="4CD86F2D">
            <w:pPr>
              <w:spacing w:line="252" w:lineRule="auto"/>
              <w:rPr>
                <w:rFonts w:ascii="Arial"/>
                <w:sz w:val="21"/>
              </w:rPr>
            </w:pPr>
          </w:p>
          <w:p w14:paraId="49EC34F9">
            <w:pPr>
              <w:spacing w:line="252" w:lineRule="auto"/>
              <w:rPr>
                <w:rFonts w:ascii="Arial"/>
                <w:sz w:val="21"/>
              </w:rPr>
            </w:pPr>
          </w:p>
          <w:p w14:paraId="3A06E533">
            <w:pPr>
              <w:spacing w:line="252" w:lineRule="auto"/>
              <w:rPr>
                <w:rFonts w:ascii="Arial"/>
                <w:sz w:val="21"/>
              </w:rPr>
            </w:pPr>
          </w:p>
          <w:p w14:paraId="744A3F67">
            <w:pPr>
              <w:spacing w:line="252" w:lineRule="auto"/>
              <w:rPr>
                <w:rFonts w:ascii="Arial"/>
                <w:sz w:val="21"/>
              </w:rPr>
            </w:pPr>
          </w:p>
          <w:p w14:paraId="5AEB0E5A">
            <w:pPr>
              <w:spacing w:line="252" w:lineRule="auto"/>
              <w:rPr>
                <w:rFonts w:ascii="Arial"/>
                <w:sz w:val="21"/>
              </w:rPr>
            </w:pPr>
          </w:p>
          <w:p w14:paraId="51AEF8A9">
            <w:pPr>
              <w:spacing w:line="252" w:lineRule="auto"/>
              <w:rPr>
                <w:rFonts w:ascii="Arial"/>
                <w:sz w:val="21"/>
              </w:rPr>
            </w:pPr>
          </w:p>
          <w:p w14:paraId="14DCBBEA">
            <w:pPr>
              <w:pStyle w:val="7"/>
              <w:spacing w:before="100" w:line="219" w:lineRule="auto"/>
              <w:ind w:left="164"/>
            </w:pPr>
            <w:r>
              <w:rPr>
                <w:spacing w:val="2"/>
              </w:rPr>
              <w:t>药品监管</w:t>
            </w:r>
          </w:p>
        </w:tc>
        <w:tc>
          <w:tcPr>
            <w:tcW w:w="1895" w:type="dxa"/>
            <w:vAlign w:val="top"/>
          </w:tcPr>
          <w:p w14:paraId="5270B1C7">
            <w:pPr>
              <w:spacing w:line="259" w:lineRule="auto"/>
              <w:rPr>
                <w:rFonts w:ascii="Arial"/>
                <w:sz w:val="21"/>
              </w:rPr>
            </w:pPr>
          </w:p>
          <w:p w14:paraId="7E2C90A7">
            <w:pPr>
              <w:spacing w:line="259" w:lineRule="auto"/>
              <w:rPr>
                <w:rFonts w:ascii="Arial"/>
                <w:sz w:val="21"/>
              </w:rPr>
            </w:pPr>
          </w:p>
          <w:p w14:paraId="3F4812E9">
            <w:pPr>
              <w:spacing w:line="259" w:lineRule="auto"/>
              <w:rPr>
                <w:rFonts w:ascii="Arial"/>
                <w:sz w:val="21"/>
              </w:rPr>
            </w:pPr>
          </w:p>
          <w:p w14:paraId="47747ABB">
            <w:pPr>
              <w:spacing w:line="260" w:lineRule="auto"/>
              <w:rPr>
                <w:rFonts w:ascii="Arial"/>
                <w:sz w:val="21"/>
              </w:rPr>
            </w:pPr>
          </w:p>
          <w:p w14:paraId="6A9EA1EA">
            <w:pPr>
              <w:spacing w:line="260" w:lineRule="auto"/>
              <w:rPr>
                <w:rFonts w:ascii="Arial"/>
                <w:sz w:val="21"/>
              </w:rPr>
            </w:pPr>
          </w:p>
          <w:p w14:paraId="3DDE26A1">
            <w:pPr>
              <w:pStyle w:val="7"/>
              <w:spacing w:before="100" w:line="262" w:lineRule="auto"/>
              <w:ind w:left="312" w:right="148" w:hanging="149"/>
            </w:pPr>
            <w:r>
              <w:rPr>
                <w:spacing w:val="5"/>
              </w:rPr>
              <w:t>单品种药品</w:t>
            </w:r>
            <w:r>
              <w:rPr>
                <w:spacing w:val="7"/>
              </w:rPr>
              <w:t>使用金额</w:t>
            </w:r>
          </w:p>
        </w:tc>
        <w:tc>
          <w:tcPr>
            <w:tcW w:w="3489" w:type="dxa"/>
            <w:vAlign w:val="top"/>
          </w:tcPr>
          <w:p w14:paraId="729A3DB1">
            <w:pPr>
              <w:pStyle w:val="7"/>
              <w:spacing w:before="79" w:line="256" w:lineRule="auto"/>
              <w:ind w:left="114" w:right="9" w:firstLine="2"/>
              <w:jc w:val="both"/>
            </w:pPr>
            <w:r>
              <w:rPr>
                <w:spacing w:val="-5"/>
              </w:rPr>
              <w:t>按抗菌药物、抗肿瘤药、</w:t>
            </w:r>
            <w:r>
              <w:rPr>
                <w:spacing w:val="3"/>
              </w:rPr>
              <w:t>重</w:t>
            </w:r>
            <w:r>
              <w:rPr>
                <w:spacing w:val="-65"/>
              </w:rPr>
              <w:t xml:space="preserve"> </w:t>
            </w:r>
            <w:r>
              <w:rPr>
                <w:spacing w:val="3"/>
              </w:rPr>
              <w:t>点</w:t>
            </w:r>
            <w:r>
              <w:rPr>
                <w:spacing w:val="-82"/>
              </w:rPr>
              <w:t xml:space="preserve"> </w:t>
            </w:r>
            <w:r>
              <w:rPr>
                <w:spacing w:val="3"/>
              </w:rPr>
              <w:t>监</w:t>
            </w:r>
            <w:r>
              <w:rPr>
                <w:spacing w:val="-89"/>
              </w:rPr>
              <w:t xml:space="preserve"> </w:t>
            </w:r>
            <w:r>
              <w:rPr>
                <w:spacing w:val="3"/>
              </w:rPr>
              <w:t>控</w:t>
            </w:r>
            <w:r>
              <w:rPr>
                <w:spacing w:val="-88"/>
              </w:rPr>
              <w:t xml:space="preserve"> </w:t>
            </w:r>
            <w:r>
              <w:rPr>
                <w:spacing w:val="3"/>
              </w:rPr>
              <w:t>合</w:t>
            </w:r>
            <w:r>
              <w:rPr>
                <w:spacing w:val="-88"/>
              </w:rPr>
              <w:t xml:space="preserve"> </w:t>
            </w:r>
            <w:r>
              <w:rPr>
                <w:spacing w:val="3"/>
              </w:rPr>
              <w:t>理用药</w:t>
            </w:r>
            <w:r>
              <w:rPr>
                <w:spacing w:val="-74"/>
              </w:rPr>
              <w:t xml:space="preserve"> </w:t>
            </w:r>
            <w:r>
              <w:rPr>
                <w:spacing w:val="3"/>
              </w:rPr>
              <w:t>药</w:t>
            </w:r>
            <w:r>
              <w:rPr>
                <w:spacing w:val="16"/>
              </w:rPr>
              <w:t>品、外配处方、新准入药品等药品单品种使用金额开展监测，依据环比增长率设定红、黄预</w:t>
            </w:r>
            <w:r>
              <w:rPr>
                <w:spacing w:val="2"/>
              </w:rPr>
              <w:t>警阈值，实现</w:t>
            </w:r>
            <w:r>
              <w:rPr>
                <w:rFonts w:ascii="Times New Roman" w:hAnsi="Times New Roman" w:eastAsia="Times New Roman" w:cs="Times New Roman"/>
                <w:spacing w:val="2"/>
              </w:rPr>
              <w:t>“</w:t>
            </w:r>
            <w:r>
              <w:rPr>
                <w:spacing w:val="2"/>
              </w:rPr>
              <w:t>科室</w:t>
            </w:r>
            <w:r>
              <w:rPr>
                <w:rFonts w:ascii="Times New Roman" w:hAnsi="Times New Roman" w:eastAsia="Times New Roman" w:cs="Times New Roman"/>
                <w:spacing w:val="2"/>
              </w:rPr>
              <w:t>—</w:t>
            </w:r>
            <w:r>
              <w:rPr>
                <w:spacing w:val="2"/>
              </w:rPr>
              <w:t>医</w:t>
            </w:r>
            <w:r>
              <w:rPr>
                <w:spacing w:val="4"/>
              </w:rPr>
              <w:t>疗组</w:t>
            </w:r>
            <w:r>
              <w:rPr>
                <w:rFonts w:ascii="Times New Roman" w:hAnsi="Times New Roman" w:eastAsia="Times New Roman" w:cs="Times New Roman"/>
                <w:spacing w:val="4"/>
              </w:rPr>
              <w:t>—</w:t>
            </w:r>
            <w:r>
              <w:rPr>
                <w:spacing w:val="4"/>
              </w:rPr>
              <w:t>医生</w:t>
            </w:r>
            <w:r>
              <w:rPr>
                <w:rFonts w:ascii="Times New Roman" w:hAnsi="Times New Roman" w:eastAsia="Times New Roman" w:cs="Times New Roman"/>
                <w:spacing w:val="4"/>
              </w:rPr>
              <w:t>”</w:t>
            </w:r>
            <w:r>
              <w:rPr>
                <w:rFonts w:ascii="Times New Roman" w:hAnsi="Times New Roman" w:eastAsia="Times New Roman" w:cs="Times New Roman"/>
                <w:spacing w:val="-40"/>
              </w:rPr>
              <w:t xml:space="preserve"> </w:t>
            </w:r>
            <w:r>
              <w:rPr>
                <w:spacing w:val="4"/>
              </w:rPr>
              <w:t>三级穿透。</w:t>
            </w:r>
          </w:p>
        </w:tc>
        <w:tc>
          <w:tcPr>
            <w:tcW w:w="2606" w:type="dxa"/>
            <w:vAlign w:val="top"/>
          </w:tcPr>
          <w:p w14:paraId="02793DF6">
            <w:pPr>
              <w:spacing w:line="417" w:lineRule="auto"/>
              <w:rPr>
                <w:rFonts w:ascii="Arial"/>
                <w:sz w:val="21"/>
              </w:rPr>
            </w:pPr>
          </w:p>
          <w:p w14:paraId="21F66BD1">
            <w:pPr>
              <w:pStyle w:val="7"/>
              <w:spacing w:before="100" w:line="262" w:lineRule="auto"/>
              <w:ind w:left="119" w:right="109" w:firstLine="7"/>
              <w:jc w:val="both"/>
            </w:pPr>
            <w:r>
              <w:rPr>
                <w:spacing w:val="27"/>
              </w:rPr>
              <w:t>黄色预警：使用</w:t>
            </w:r>
            <w:r>
              <w:rPr>
                <w:spacing w:val="-11"/>
              </w:rPr>
              <w:t>金</w:t>
            </w:r>
            <w:r>
              <w:rPr>
                <w:spacing w:val="-41"/>
              </w:rPr>
              <w:t xml:space="preserve"> </w:t>
            </w:r>
            <w:r>
              <w:rPr>
                <w:spacing w:val="-11"/>
              </w:rPr>
              <w:t>额</w:t>
            </w:r>
            <w:r>
              <w:rPr>
                <w:spacing w:val="-49"/>
              </w:rPr>
              <w:t xml:space="preserve"> </w:t>
            </w:r>
            <w:r>
              <w:rPr>
                <w:spacing w:val="-11"/>
              </w:rPr>
              <w:t>环 比</w:t>
            </w:r>
            <w:r>
              <w:rPr>
                <w:spacing w:val="-52"/>
              </w:rPr>
              <w:t xml:space="preserve"> </w:t>
            </w:r>
            <w:r>
              <w:rPr>
                <w:spacing w:val="-11"/>
              </w:rPr>
              <w:t>增</w:t>
            </w:r>
            <w:r>
              <w:rPr>
                <w:spacing w:val="-45"/>
              </w:rPr>
              <w:t xml:space="preserve"> </w:t>
            </w:r>
            <w:r>
              <w:rPr>
                <w:spacing w:val="-11"/>
              </w:rPr>
              <w:t>长</w:t>
            </w:r>
            <w:r>
              <w:rPr>
                <w:rFonts w:ascii="Times New Roman" w:hAnsi="Times New Roman" w:eastAsia="Times New Roman" w:cs="Times New Roman"/>
                <w:spacing w:val="3"/>
              </w:rPr>
              <w:t>30%-50%</w:t>
            </w:r>
            <w:r>
              <w:rPr>
                <w:spacing w:val="3"/>
              </w:rPr>
              <w:t>；</w:t>
            </w:r>
          </w:p>
          <w:p w14:paraId="4012EF2B">
            <w:pPr>
              <w:pStyle w:val="7"/>
              <w:spacing w:line="265" w:lineRule="auto"/>
              <w:ind w:left="121" w:right="109" w:firstLine="5"/>
              <w:jc w:val="both"/>
            </w:pPr>
            <w:r>
              <w:rPr>
                <w:spacing w:val="27"/>
              </w:rPr>
              <w:t>红色预警：使用</w:t>
            </w:r>
            <w:r>
              <w:rPr>
                <w:spacing w:val="-12"/>
              </w:rPr>
              <w:t>金</w:t>
            </w:r>
            <w:r>
              <w:rPr>
                <w:spacing w:val="-36"/>
              </w:rPr>
              <w:t xml:space="preserve"> </w:t>
            </w:r>
            <w:r>
              <w:rPr>
                <w:spacing w:val="-12"/>
              </w:rPr>
              <w:t>额</w:t>
            </w:r>
            <w:r>
              <w:rPr>
                <w:spacing w:val="-49"/>
              </w:rPr>
              <w:t xml:space="preserve"> </w:t>
            </w:r>
            <w:r>
              <w:rPr>
                <w:spacing w:val="-12"/>
              </w:rPr>
              <w:t>环 比</w:t>
            </w:r>
            <w:r>
              <w:rPr>
                <w:spacing w:val="-52"/>
              </w:rPr>
              <w:t xml:space="preserve"> </w:t>
            </w:r>
            <w:r>
              <w:rPr>
                <w:spacing w:val="-12"/>
              </w:rPr>
              <w:t>增</w:t>
            </w:r>
            <w:r>
              <w:rPr>
                <w:spacing w:val="-45"/>
              </w:rPr>
              <w:t xml:space="preserve"> </w:t>
            </w:r>
            <w:r>
              <w:rPr>
                <w:spacing w:val="-12"/>
              </w:rPr>
              <w:t>长</w:t>
            </w:r>
            <w:r>
              <w:rPr>
                <w:rFonts w:ascii="Times New Roman" w:hAnsi="Times New Roman" w:eastAsia="Times New Roman" w:cs="Times New Roman"/>
                <w:spacing w:val="3"/>
              </w:rPr>
              <w:t>50%</w:t>
            </w:r>
            <w:r>
              <w:rPr>
                <w:spacing w:val="3"/>
              </w:rPr>
              <w:t>以上。</w:t>
            </w:r>
          </w:p>
        </w:tc>
      </w:tr>
      <w:tr w14:paraId="7BD7C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3" w:hRule="atLeast"/>
        </w:trPr>
        <w:tc>
          <w:tcPr>
            <w:tcW w:w="1554" w:type="dxa"/>
            <w:vMerge w:val="continue"/>
            <w:tcBorders>
              <w:top w:val="nil"/>
            </w:tcBorders>
            <w:vAlign w:val="top"/>
          </w:tcPr>
          <w:p w14:paraId="3FE406CC">
            <w:pPr>
              <w:rPr>
                <w:rFonts w:ascii="Arial"/>
                <w:sz w:val="21"/>
              </w:rPr>
            </w:pPr>
          </w:p>
        </w:tc>
        <w:tc>
          <w:tcPr>
            <w:tcW w:w="1895" w:type="dxa"/>
            <w:vAlign w:val="top"/>
          </w:tcPr>
          <w:p w14:paraId="612D8287">
            <w:pPr>
              <w:spacing w:line="251" w:lineRule="auto"/>
              <w:rPr>
                <w:rFonts w:ascii="Arial"/>
                <w:sz w:val="21"/>
              </w:rPr>
            </w:pPr>
          </w:p>
          <w:p w14:paraId="3A5CC13D">
            <w:pPr>
              <w:spacing w:line="251" w:lineRule="auto"/>
              <w:rPr>
                <w:rFonts w:ascii="Arial"/>
                <w:sz w:val="21"/>
              </w:rPr>
            </w:pPr>
          </w:p>
          <w:p w14:paraId="2B12C2F3">
            <w:pPr>
              <w:spacing w:line="252" w:lineRule="auto"/>
              <w:rPr>
                <w:rFonts w:ascii="Arial"/>
                <w:sz w:val="21"/>
              </w:rPr>
            </w:pPr>
          </w:p>
          <w:p w14:paraId="3EC1534B">
            <w:pPr>
              <w:spacing w:line="252" w:lineRule="auto"/>
              <w:rPr>
                <w:rFonts w:ascii="Arial"/>
                <w:sz w:val="21"/>
              </w:rPr>
            </w:pPr>
          </w:p>
          <w:p w14:paraId="289F9E9F">
            <w:pPr>
              <w:spacing w:line="252" w:lineRule="auto"/>
              <w:rPr>
                <w:rFonts w:ascii="Arial"/>
                <w:sz w:val="21"/>
              </w:rPr>
            </w:pPr>
          </w:p>
          <w:p w14:paraId="02C6C607">
            <w:pPr>
              <w:spacing w:line="252" w:lineRule="auto"/>
              <w:rPr>
                <w:rFonts w:ascii="Arial"/>
                <w:sz w:val="21"/>
              </w:rPr>
            </w:pPr>
          </w:p>
          <w:p w14:paraId="2110A43F">
            <w:pPr>
              <w:pStyle w:val="7"/>
              <w:spacing w:before="101" w:line="262" w:lineRule="auto"/>
              <w:ind w:left="319" w:right="306" w:firstLine="14"/>
            </w:pPr>
            <w:r>
              <w:rPr>
                <w:spacing w:val="2"/>
              </w:rPr>
              <w:t>药品使用</w:t>
            </w:r>
            <w:r>
              <w:rPr>
                <w:spacing w:val="5"/>
              </w:rPr>
              <w:t>金额对比</w:t>
            </w:r>
          </w:p>
        </w:tc>
        <w:tc>
          <w:tcPr>
            <w:tcW w:w="3489" w:type="dxa"/>
            <w:vAlign w:val="top"/>
          </w:tcPr>
          <w:p w14:paraId="11240D38">
            <w:pPr>
              <w:spacing w:line="316" w:lineRule="auto"/>
              <w:rPr>
                <w:rFonts w:ascii="Arial"/>
                <w:sz w:val="21"/>
              </w:rPr>
            </w:pPr>
          </w:p>
          <w:p w14:paraId="2A7793B3">
            <w:pPr>
              <w:spacing w:line="317" w:lineRule="auto"/>
              <w:rPr>
                <w:rFonts w:ascii="Arial"/>
                <w:sz w:val="21"/>
              </w:rPr>
            </w:pPr>
          </w:p>
          <w:p w14:paraId="231E9D6F">
            <w:pPr>
              <w:pStyle w:val="7"/>
              <w:spacing w:before="101" w:line="262" w:lineRule="auto"/>
              <w:ind w:left="112" w:right="107" w:firstLine="13"/>
            </w:pPr>
            <w:r>
              <w:rPr>
                <w:spacing w:val="15"/>
              </w:rPr>
              <w:t>结合医院管理实际，从</w:t>
            </w:r>
            <w:r>
              <w:rPr>
                <w:spacing w:val="3"/>
              </w:rPr>
              <w:t>科室、病</w:t>
            </w:r>
            <w:r>
              <w:rPr>
                <w:spacing w:val="-88"/>
              </w:rPr>
              <w:t xml:space="preserve"> </w:t>
            </w:r>
            <w:r>
              <w:rPr>
                <w:spacing w:val="3"/>
              </w:rPr>
              <w:t>区、</w:t>
            </w:r>
            <w:r>
              <w:rPr>
                <w:spacing w:val="-89"/>
              </w:rPr>
              <w:t xml:space="preserve"> </w:t>
            </w:r>
            <w:r>
              <w:rPr>
                <w:spacing w:val="3"/>
              </w:rPr>
              <w:t>医疗组、</w:t>
            </w:r>
            <w:r>
              <w:rPr>
                <w:spacing w:val="16"/>
              </w:rPr>
              <w:t>医生等维度对药品使用金额进行对比，按差异倍数设定红、黄预警阈</w:t>
            </w:r>
            <w:r>
              <w:t>值。</w:t>
            </w:r>
          </w:p>
        </w:tc>
        <w:tc>
          <w:tcPr>
            <w:tcW w:w="2606" w:type="dxa"/>
            <w:vAlign w:val="top"/>
          </w:tcPr>
          <w:p w14:paraId="039F41DB">
            <w:pPr>
              <w:pStyle w:val="7"/>
              <w:spacing w:before="77" w:line="262" w:lineRule="auto"/>
              <w:ind w:left="115" w:right="107" w:firstLine="11"/>
              <w:jc w:val="both"/>
            </w:pPr>
            <w:r>
              <w:rPr>
                <w:spacing w:val="27"/>
              </w:rPr>
              <w:t>黄色预警：重点</w:t>
            </w:r>
            <w:r>
              <w:rPr>
                <w:spacing w:val="29"/>
              </w:rPr>
              <w:t>药品在科室医疗组平均使用数量</w:t>
            </w:r>
            <w:r>
              <w:t>差</w:t>
            </w:r>
            <w:r>
              <w:rPr>
                <w:spacing w:val="-63"/>
              </w:rPr>
              <w:t xml:space="preserve"> </w:t>
            </w:r>
            <w:r>
              <w:rPr>
                <w:rFonts w:ascii="Times New Roman" w:hAnsi="Times New Roman" w:eastAsia="Times New Roman" w:cs="Times New Roman"/>
              </w:rPr>
              <w:t xml:space="preserve">0.5 </w:t>
            </w:r>
            <w:r>
              <w:t>倍以上至</w:t>
            </w:r>
            <w:r>
              <w:rPr>
                <w:spacing w:val="-40"/>
              </w:rPr>
              <w:t xml:space="preserve"> </w:t>
            </w:r>
            <w:r>
              <w:rPr>
                <w:rFonts w:ascii="Times New Roman" w:hAnsi="Times New Roman" w:eastAsia="Times New Roman" w:cs="Times New Roman"/>
              </w:rPr>
              <w:t>1</w:t>
            </w:r>
            <w:r>
              <w:rPr>
                <w:spacing w:val="5"/>
              </w:rPr>
              <w:t>倍以下；</w:t>
            </w:r>
          </w:p>
          <w:p w14:paraId="14C0C70A">
            <w:pPr>
              <w:pStyle w:val="7"/>
              <w:spacing w:before="3" w:line="249" w:lineRule="auto"/>
              <w:ind w:left="122" w:right="109" w:firstLine="3"/>
              <w:jc w:val="both"/>
            </w:pPr>
            <w:r>
              <w:rPr>
                <w:spacing w:val="27"/>
              </w:rPr>
              <w:t>红色预警：重点</w:t>
            </w:r>
            <w:r>
              <w:rPr>
                <w:spacing w:val="28"/>
              </w:rPr>
              <w:t>药品在科室医疗组平均使用数量</w:t>
            </w:r>
            <w:r>
              <w:rPr>
                <w:spacing w:val="-2"/>
              </w:rPr>
              <w:t>差</w:t>
            </w:r>
            <w:r>
              <w:rPr>
                <w:spacing w:val="-31"/>
              </w:rPr>
              <w:t xml:space="preserve"> </w:t>
            </w:r>
            <w:r>
              <w:rPr>
                <w:rFonts w:ascii="Times New Roman" w:hAnsi="Times New Roman" w:eastAsia="Times New Roman" w:cs="Times New Roman"/>
                <w:spacing w:val="-2"/>
              </w:rPr>
              <w:t xml:space="preserve">1 </w:t>
            </w:r>
            <w:r>
              <w:rPr>
                <w:spacing w:val="-2"/>
              </w:rPr>
              <w:t>倍以上。</w:t>
            </w:r>
          </w:p>
        </w:tc>
      </w:tr>
      <w:tr w14:paraId="4B122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trPr>
        <w:tc>
          <w:tcPr>
            <w:tcW w:w="1554" w:type="dxa"/>
            <w:vMerge w:val="restart"/>
            <w:tcBorders>
              <w:bottom w:val="nil"/>
            </w:tcBorders>
            <w:vAlign w:val="top"/>
          </w:tcPr>
          <w:p w14:paraId="3BA0EA92">
            <w:pPr>
              <w:spacing w:line="259" w:lineRule="auto"/>
              <w:rPr>
                <w:rFonts w:ascii="Arial"/>
                <w:sz w:val="21"/>
              </w:rPr>
            </w:pPr>
          </w:p>
          <w:p w14:paraId="4607FD54">
            <w:pPr>
              <w:spacing w:line="259" w:lineRule="auto"/>
              <w:rPr>
                <w:rFonts w:ascii="Arial"/>
                <w:sz w:val="21"/>
              </w:rPr>
            </w:pPr>
          </w:p>
          <w:p w14:paraId="0A736E65">
            <w:pPr>
              <w:spacing w:line="259" w:lineRule="auto"/>
              <w:rPr>
                <w:rFonts w:ascii="Arial"/>
                <w:sz w:val="21"/>
              </w:rPr>
            </w:pPr>
          </w:p>
          <w:p w14:paraId="3DFFB23F">
            <w:pPr>
              <w:spacing w:line="259" w:lineRule="auto"/>
              <w:rPr>
                <w:rFonts w:ascii="Arial"/>
                <w:sz w:val="21"/>
              </w:rPr>
            </w:pPr>
          </w:p>
          <w:p w14:paraId="55CDB987">
            <w:pPr>
              <w:spacing w:line="259" w:lineRule="auto"/>
              <w:rPr>
                <w:rFonts w:ascii="Arial"/>
                <w:sz w:val="21"/>
              </w:rPr>
            </w:pPr>
          </w:p>
          <w:p w14:paraId="7492F042">
            <w:pPr>
              <w:spacing w:line="260" w:lineRule="auto"/>
              <w:rPr>
                <w:rFonts w:ascii="Arial"/>
                <w:sz w:val="21"/>
              </w:rPr>
            </w:pPr>
          </w:p>
          <w:p w14:paraId="5C8A45B9">
            <w:pPr>
              <w:spacing w:line="260" w:lineRule="auto"/>
              <w:rPr>
                <w:rFonts w:ascii="Arial"/>
                <w:sz w:val="21"/>
              </w:rPr>
            </w:pPr>
          </w:p>
          <w:p w14:paraId="4152B85A">
            <w:pPr>
              <w:spacing w:line="260" w:lineRule="auto"/>
              <w:rPr>
                <w:rFonts w:ascii="Arial"/>
                <w:sz w:val="21"/>
              </w:rPr>
            </w:pPr>
          </w:p>
          <w:p w14:paraId="63D74789">
            <w:pPr>
              <w:spacing w:line="260" w:lineRule="auto"/>
              <w:rPr>
                <w:rFonts w:ascii="Arial"/>
                <w:sz w:val="21"/>
              </w:rPr>
            </w:pPr>
          </w:p>
          <w:p w14:paraId="3E3334DA">
            <w:pPr>
              <w:pStyle w:val="7"/>
              <w:spacing w:before="101" w:line="219" w:lineRule="auto"/>
              <w:ind w:left="149"/>
            </w:pPr>
            <w:r>
              <w:rPr>
                <w:spacing w:val="5"/>
              </w:rPr>
              <w:t>耗材监管</w:t>
            </w:r>
          </w:p>
        </w:tc>
        <w:tc>
          <w:tcPr>
            <w:tcW w:w="1895" w:type="dxa"/>
            <w:vAlign w:val="top"/>
          </w:tcPr>
          <w:p w14:paraId="789D2133">
            <w:pPr>
              <w:spacing w:line="286" w:lineRule="auto"/>
              <w:rPr>
                <w:rFonts w:ascii="Arial"/>
                <w:sz w:val="21"/>
              </w:rPr>
            </w:pPr>
          </w:p>
          <w:p w14:paraId="7AB17157">
            <w:pPr>
              <w:spacing w:line="286" w:lineRule="auto"/>
              <w:rPr>
                <w:rFonts w:ascii="Arial"/>
                <w:sz w:val="21"/>
              </w:rPr>
            </w:pPr>
          </w:p>
          <w:p w14:paraId="4B531596">
            <w:pPr>
              <w:spacing w:line="286" w:lineRule="auto"/>
              <w:rPr>
                <w:rFonts w:ascii="Arial"/>
                <w:sz w:val="21"/>
              </w:rPr>
            </w:pPr>
          </w:p>
          <w:p w14:paraId="3E61F6BB">
            <w:pPr>
              <w:pStyle w:val="7"/>
              <w:spacing w:before="100" w:line="261" w:lineRule="auto"/>
              <w:ind w:left="522" w:right="306" w:hanging="187"/>
            </w:pPr>
            <w:r>
              <w:rPr>
                <w:spacing w:val="1"/>
              </w:rPr>
              <w:t>临采耗材</w:t>
            </w:r>
            <w:r>
              <w:rPr>
                <w:spacing w:val="-11"/>
              </w:rPr>
              <w:t>申请数</w:t>
            </w:r>
          </w:p>
        </w:tc>
        <w:tc>
          <w:tcPr>
            <w:tcW w:w="3489" w:type="dxa"/>
            <w:vAlign w:val="top"/>
          </w:tcPr>
          <w:p w14:paraId="347AFE25">
            <w:pPr>
              <w:spacing w:line="419" w:lineRule="auto"/>
              <w:rPr>
                <w:rFonts w:ascii="Arial"/>
                <w:sz w:val="21"/>
              </w:rPr>
            </w:pPr>
          </w:p>
          <w:p w14:paraId="0ECB42A5">
            <w:pPr>
              <w:pStyle w:val="7"/>
              <w:spacing w:before="100" w:line="261" w:lineRule="auto"/>
              <w:ind w:left="114" w:right="107" w:firstLine="2"/>
              <w:jc w:val="both"/>
            </w:pPr>
            <w:r>
              <w:rPr>
                <w:spacing w:val="15"/>
              </w:rPr>
              <w:t>按产品类别对临采耗材</w:t>
            </w:r>
            <w:r>
              <w:rPr>
                <w:spacing w:val="16"/>
              </w:rPr>
              <w:t>申请次数开展监测，超</w:t>
            </w:r>
            <w:r>
              <w:rPr>
                <w:spacing w:val="52"/>
              </w:rPr>
              <w:t>出医院限定即触发预</w:t>
            </w:r>
            <w:r>
              <w:rPr>
                <w:spacing w:val="-2"/>
              </w:rPr>
              <w:t>警。</w:t>
            </w:r>
          </w:p>
        </w:tc>
        <w:tc>
          <w:tcPr>
            <w:tcW w:w="2606" w:type="dxa"/>
            <w:vAlign w:val="top"/>
          </w:tcPr>
          <w:p w14:paraId="342C512C">
            <w:pPr>
              <w:pStyle w:val="7"/>
              <w:spacing w:before="80" w:line="262" w:lineRule="auto"/>
              <w:ind w:left="128" w:right="107" w:hanging="2"/>
            </w:pPr>
            <w:r>
              <w:rPr>
                <w:spacing w:val="-7"/>
              </w:rPr>
              <w:t>黄色预警：达到</w:t>
            </w:r>
            <w:r>
              <w:rPr>
                <w:spacing w:val="-59"/>
              </w:rPr>
              <w:t xml:space="preserve"> </w:t>
            </w:r>
            <w:r>
              <w:rPr>
                <w:rFonts w:ascii="Times New Roman" w:hAnsi="Times New Roman" w:eastAsia="Times New Roman" w:cs="Times New Roman"/>
                <w:spacing w:val="-7"/>
              </w:rPr>
              <w:t>3</w:t>
            </w:r>
            <w:r>
              <w:rPr>
                <w:spacing w:val="-7"/>
              </w:rPr>
              <w:t>次；</w:t>
            </w:r>
          </w:p>
          <w:p w14:paraId="13BF7511">
            <w:pPr>
              <w:pStyle w:val="7"/>
              <w:spacing w:line="249" w:lineRule="auto"/>
              <w:ind w:left="121" w:right="107" w:firstLine="5"/>
            </w:pPr>
            <w:r>
              <w:rPr>
                <w:spacing w:val="-7"/>
              </w:rPr>
              <w:t>红色预警：达到</w:t>
            </w:r>
            <w:r>
              <w:rPr>
                <w:spacing w:val="-58"/>
              </w:rPr>
              <w:t xml:space="preserve"> </w:t>
            </w:r>
            <w:r>
              <w:rPr>
                <w:rFonts w:ascii="Times New Roman" w:hAnsi="Times New Roman" w:eastAsia="Times New Roman" w:cs="Times New Roman"/>
                <w:spacing w:val="-7"/>
              </w:rPr>
              <w:t>5</w:t>
            </w:r>
            <w:r>
              <w:rPr>
                <w:spacing w:val="7"/>
              </w:rPr>
              <w:t>次</w:t>
            </w:r>
            <w:r>
              <w:rPr>
                <w:spacing w:val="-81"/>
              </w:rPr>
              <w:t xml:space="preserve"> </w:t>
            </w:r>
            <w:r>
              <w:rPr>
                <w:spacing w:val="7"/>
              </w:rPr>
              <w:t>，</w:t>
            </w:r>
            <w:r>
              <w:rPr>
                <w:spacing w:val="-79"/>
              </w:rPr>
              <w:t xml:space="preserve"> </w:t>
            </w:r>
            <w:r>
              <w:rPr>
                <w:spacing w:val="7"/>
              </w:rPr>
              <w:t>同时建议临</w:t>
            </w:r>
            <w:r>
              <w:rPr>
                <w:spacing w:val="28"/>
              </w:rPr>
              <w:t>床科室提交耗材</w:t>
            </w:r>
            <w:r>
              <w:rPr>
                <w:spacing w:val="4"/>
              </w:rPr>
              <w:t>准入申请。</w:t>
            </w:r>
          </w:p>
        </w:tc>
      </w:tr>
      <w:tr w14:paraId="57913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1554" w:type="dxa"/>
            <w:vMerge w:val="continue"/>
            <w:tcBorders>
              <w:top w:val="nil"/>
            </w:tcBorders>
            <w:vAlign w:val="top"/>
          </w:tcPr>
          <w:p w14:paraId="3AD27E92">
            <w:pPr>
              <w:rPr>
                <w:rFonts w:ascii="Arial"/>
                <w:sz w:val="21"/>
              </w:rPr>
            </w:pPr>
          </w:p>
        </w:tc>
        <w:tc>
          <w:tcPr>
            <w:tcW w:w="1895" w:type="dxa"/>
            <w:vAlign w:val="top"/>
          </w:tcPr>
          <w:p w14:paraId="665BA693">
            <w:pPr>
              <w:spacing w:line="255" w:lineRule="auto"/>
              <w:rPr>
                <w:rFonts w:ascii="Arial"/>
                <w:sz w:val="21"/>
              </w:rPr>
            </w:pPr>
          </w:p>
          <w:p w14:paraId="5EA68942">
            <w:pPr>
              <w:spacing w:line="255" w:lineRule="auto"/>
              <w:rPr>
                <w:rFonts w:ascii="Arial"/>
                <w:sz w:val="21"/>
              </w:rPr>
            </w:pPr>
          </w:p>
          <w:p w14:paraId="143219B7">
            <w:pPr>
              <w:spacing w:line="255" w:lineRule="auto"/>
              <w:rPr>
                <w:rFonts w:ascii="Arial"/>
                <w:sz w:val="21"/>
              </w:rPr>
            </w:pPr>
          </w:p>
          <w:p w14:paraId="0B5ADC26">
            <w:pPr>
              <w:pStyle w:val="7"/>
              <w:spacing w:before="101" w:line="261" w:lineRule="auto"/>
              <w:ind w:left="306" w:right="306" w:firstLine="47"/>
            </w:pPr>
            <w:r>
              <w:rPr>
                <w:spacing w:val="-3"/>
              </w:rPr>
              <w:t>医用耗材</w:t>
            </w:r>
            <w:r>
              <w:rPr>
                <w:spacing w:val="9"/>
              </w:rPr>
              <w:t>领用金额</w:t>
            </w:r>
          </w:p>
        </w:tc>
        <w:tc>
          <w:tcPr>
            <w:tcW w:w="3489" w:type="dxa"/>
            <w:vAlign w:val="top"/>
          </w:tcPr>
          <w:p w14:paraId="2E162601">
            <w:pPr>
              <w:spacing w:line="324" w:lineRule="auto"/>
              <w:rPr>
                <w:rFonts w:ascii="Arial"/>
                <w:sz w:val="21"/>
              </w:rPr>
            </w:pPr>
          </w:p>
          <w:p w14:paraId="4A0BFE98">
            <w:pPr>
              <w:pStyle w:val="7"/>
              <w:spacing w:before="101" w:line="262" w:lineRule="auto"/>
              <w:ind w:left="116" w:right="107" w:firstLine="9"/>
              <w:jc w:val="both"/>
            </w:pPr>
            <w:r>
              <w:rPr>
                <w:spacing w:val="15"/>
              </w:rPr>
              <w:t>监测各科室医用耗材领</w:t>
            </w:r>
            <w:r>
              <w:rPr>
                <w:spacing w:val="-3"/>
              </w:rPr>
              <w:t>用金额，对比前</w:t>
            </w:r>
            <w:r>
              <w:rPr>
                <w:spacing w:val="-36"/>
              </w:rPr>
              <w:t xml:space="preserve"> </w:t>
            </w:r>
            <w:r>
              <w:rPr>
                <w:rFonts w:ascii="Times New Roman" w:hAnsi="Times New Roman" w:eastAsia="Times New Roman" w:cs="Times New Roman"/>
                <w:spacing w:val="-3"/>
              </w:rPr>
              <w:t xml:space="preserve">12 </w:t>
            </w:r>
            <w:r>
              <w:rPr>
                <w:spacing w:val="-3"/>
              </w:rPr>
              <w:t>个月</w:t>
            </w:r>
            <w:r>
              <w:rPr>
                <w:spacing w:val="16"/>
              </w:rPr>
              <w:t>月均值设置红、黄预警</w:t>
            </w:r>
            <w:r>
              <w:rPr>
                <w:spacing w:val="1"/>
              </w:rPr>
              <w:t>阈值。</w:t>
            </w:r>
          </w:p>
        </w:tc>
        <w:tc>
          <w:tcPr>
            <w:tcW w:w="2606" w:type="dxa"/>
            <w:vAlign w:val="top"/>
          </w:tcPr>
          <w:p w14:paraId="5DF1AFBE">
            <w:pPr>
              <w:pStyle w:val="7"/>
              <w:spacing w:before="83" w:line="262" w:lineRule="auto"/>
              <w:ind w:left="121" w:right="87" w:firstLine="5"/>
              <w:jc w:val="both"/>
            </w:pPr>
            <w:r>
              <w:rPr>
                <w:spacing w:val="-12"/>
              </w:rPr>
              <w:t>黄色预警：领用金</w:t>
            </w:r>
            <w:r>
              <w:rPr>
                <w:spacing w:val="-14"/>
              </w:rPr>
              <w:t>额增长</w:t>
            </w:r>
            <w:r>
              <w:rPr>
                <w:spacing w:val="-89"/>
              </w:rPr>
              <w:t xml:space="preserve"> </w:t>
            </w:r>
            <w:r>
              <w:rPr>
                <w:rFonts w:ascii="Times New Roman" w:hAnsi="Times New Roman" w:eastAsia="Times New Roman" w:cs="Times New Roman"/>
                <w:spacing w:val="-14"/>
              </w:rPr>
              <w:t>30%-50%</w:t>
            </w:r>
            <w:r>
              <w:rPr>
                <w:spacing w:val="-14"/>
              </w:rPr>
              <w:t>；</w:t>
            </w:r>
            <w:r>
              <w:rPr>
                <w:spacing w:val="28"/>
              </w:rPr>
              <w:t>红色预警：领用</w:t>
            </w:r>
            <w:r>
              <w:rPr>
                <w:spacing w:val="-10"/>
              </w:rPr>
              <w:t>金</w:t>
            </w:r>
            <w:r>
              <w:rPr>
                <w:spacing w:val="-42"/>
              </w:rPr>
              <w:t xml:space="preserve"> </w:t>
            </w:r>
            <w:r>
              <w:rPr>
                <w:spacing w:val="-10"/>
              </w:rPr>
              <w:t>额</w:t>
            </w:r>
            <w:r>
              <w:rPr>
                <w:spacing w:val="-53"/>
              </w:rPr>
              <w:t xml:space="preserve"> </w:t>
            </w:r>
            <w:r>
              <w:rPr>
                <w:spacing w:val="-10"/>
              </w:rPr>
              <w:t>增</w:t>
            </w:r>
            <w:r>
              <w:rPr>
                <w:spacing w:val="-42"/>
              </w:rPr>
              <w:t xml:space="preserve"> </w:t>
            </w:r>
            <w:r>
              <w:rPr>
                <w:spacing w:val="-10"/>
              </w:rPr>
              <w:t>长</w:t>
            </w:r>
            <w:r>
              <w:rPr>
                <w:spacing w:val="-35"/>
              </w:rPr>
              <w:t xml:space="preserve"> </w:t>
            </w:r>
            <w:r>
              <w:rPr>
                <w:spacing w:val="-10"/>
              </w:rPr>
              <w:t>大</w:t>
            </w:r>
            <w:r>
              <w:rPr>
                <w:spacing w:val="-34"/>
              </w:rPr>
              <w:t xml:space="preserve"> </w:t>
            </w:r>
            <w:r>
              <w:rPr>
                <w:spacing w:val="-10"/>
              </w:rPr>
              <w:t>于</w:t>
            </w:r>
            <w:r>
              <w:rPr>
                <w:rFonts w:ascii="Times New Roman" w:hAnsi="Times New Roman" w:eastAsia="Times New Roman" w:cs="Times New Roman"/>
              </w:rPr>
              <w:t>50%</w:t>
            </w:r>
            <w:r>
              <w:t>。</w:t>
            </w:r>
          </w:p>
        </w:tc>
      </w:tr>
    </w:tbl>
    <w:p w14:paraId="6A5EFF2C">
      <w:pPr>
        <w:rPr>
          <w:rFonts w:ascii="Arial"/>
          <w:sz w:val="21"/>
        </w:rPr>
      </w:pPr>
    </w:p>
    <w:p w14:paraId="0AF698E2">
      <w:pPr>
        <w:rPr>
          <w:rFonts w:ascii="Arial" w:hAnsi="Arial" w:eastAsia="Arial" w:cs="Arial"/>
          <w:sz w:val="21"/>
          <w:szCs w:val="21"/>
        </w:rPr>
        <w:sectPr>
          <w:footerReference r:id="rId6" w:type="default"/>
          <w:pgSz w:w="11906" w:h="16839"/>
          <w:pgMar w:top="1431" w:right="1121" w:bottom="1722" w:left="1235" w:header="0" w:footer="1331" w:gutter="0"/>
          <w:cols w:space="720" w:num="1"/>
        </w:sectPr>
      </w:pPr>
    </w:p>
    <w:p w14:paraId="5907862C">
      <w:pPr>
        <w:spacing w:before="92"/>
      </w:pPr>
    </w:p>
    <w:p w14:paraId="5FC0298C">
      <w:pPr>
        <w:spacing w:before="91"/>
      </w:pPr>
    </w:p>
    <w:tbl>
      <w:tblPr>
        <w:tblStyle w:val="6"/>
        <w:tblW w:w="95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1895"/>
        <w:gridCol w:w="3489"/>
        <w:gridCol w:w="2606"/>
      </w:tblGrid>
      <w:tr w14:paraId="39425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8" w:hRule="atLeast"/>
        </w:trPr>
        <w:tc>
          <w:tcPr>
            <w:tcW w:w="1554" w:type="dxa"/>
            <w:vMerge w:val="restart"/>
            <w:tcBorders>
              <w:bottom w:val="nil"/>
            </w:tcBorders>
            <w:vAlign w:val="top"/>
          </w:tcPr>
          <w:p w14:paraId="53E6359F">
            <w:pPr>
              <w:spacing w:line="246" w:lineRule="auto"/>
              <w:rPr>
                <w:rFonts w:ascii="Arial"/>
                <w:sz w:val="21"/>
              </w:rPr>
            </w:pPr>
          </w:p>
          <w:p w14:paraId="2F287AC5">
            <w:pPr>
              <w:spacing w:line="246" w:lineRule="auto"/>
              <w:rPr>
                <w:rFonts w:ascii="Arial"/>
                <w:sz w:val="21"/>
              </w:rPr>
            </w:pPr>
          </w:p>
          <w:p w14:paraId="6A5D0353">
            <w:pPr>
              <w:spacing w:line="246" w:lineRule="auto"/>
              <w:rPr>
                <w:rFonts w:ascii="Arial"/>
                <w:sz w:val="21"/>
              </w:rPr>
            </w:pPr>
          </w:p>
          <w:p w14:paraId="44230E30">
            <w:pPr>
              <w:spacing w:line="246" w:lineRule="auto"/>
              <w:rPr>
                <w:rFonts w:ascii="Arial"/>
                <w:sz w:val="21"/>
              </w:rPr>
            </w:pPr>
          </w:p>
          <w:p w14:paraId="2F7D062F">
            <w:pPr>
              <w:spacing w:line="246" w:lineRule="auto"/>
              <w:rPr>
                <w:rFonts w:ascii="Arial"/>
                <w:sz w:val="21"/>
              </w:rPr>
            </w:pPr>
          </w:p>
          <w:p w14:paraId="1876DEFA">
            <w:pPr>
              <w:spacing w:line="246" w:lineRule="auto"/>
              <w:rPr>
                <w:rFonts w:ascii="Arial"/>
                <w:sz w:val="21"/>
              </w:rPr>
            </w:pPr>
          </w:p>
          <w:p w14:paraId="0682A16B">
            <w:pPr>
              <w:spacing w:line="246" w:lineRule="auto"/>
              <w:rPr>
                <w:rFonts w:ascii="Arial"/>
                <w:sz w:val="21"/>
              </w:rPr>
            </w:pPr>
          </w:p>
          <w:p w14:paraId="552F200B">
            <w:pPr>
              <w:spacing w:line="246" w:lineRule="auto"/>
              <w:rPr>
                <w:rFonts w:ascii="Arial"/>
                <w:sz w:val="21"/>
              </w:rPr>
            </w:pPr>
          </w:p>
          <w:p w14:paraId="2D133233">
            <w:pPr>
              <w:spacing w:line="246" w:lineRule="auto"/>
              <w:rPr>
                <w:rFonts w:ascii="Arial"/>
                <w:sz w:val="21"/>
              </w:rPr>
            </w:pPr>
          </w:p>
          <w:p w14:paraId="4955FDD3">
            <w:pPr>
              <w:spacing w:line="246" w:lineRule="auto"/>
              <w:rPr>
                <w:rFonts w:ascii="Arial"/>
                <w:sz w:val="21"/>
              </w:rPr>
            </w:pPr>
          </w:p>
          <w:p w14:paraId="0A354AF2">
            <w:pPr>
              <w:spacing w:line="246" w:lineRule="auto"/>
              <w:rPr>
                <w:rFonts w:ascii="Arial"/>
                <w:sz w:val="21"/>
              </w:rPr>
            </w:pPr>
          </w:p>
          <w:p w14:paraId="5B3B9217">
            <w:pPr>
              <w:spacing w:line="246" w:lineRule="auto"/>
              <w:rPr>
                <w:rFonts w:ascii="Arial"/>
                <w:sz w:val="21"/>
              </w:rPr>
            </w:pPr>
          </w:p>
          <w:p w14:paraId="6E89FB93">
            <w:pPr>
              <w:spacing w:line="246" w:lineRule="auto"/>
              <w:rPr>
                <w:rFonts w:ascii="Arial"/>
                <w:sz w:val="21"/>
              </w:rPr>
            </w:pPr>
          </w:p>
          <w:p w14:paraId="28757AF8">
            <w:pPr>
              <w:spacing w:line="246" w:lineRule="auto"/>
              <w:rPr>
                <w:rFonts w:ascii="Arial"/>
                <w:sz w:val="21"/>
              </w:rPr>
            </w:pPr>
          </w:p>
          <w:p w14:paraId="1ECD11BC">
            <w:pPr>
              <w:spacing w:line="246" w:lineRule="auto"/>
              <w:rPr>
                <w:rFonts w:ascii="Arial"/>
                <w:sz w:val="21"/>
              </w:rPr>
            </w:pPr>
          </w:p>
          <w:p w14:paraId="67C90FD6">
            <w:pPr>
              <w:spacing w:line="247" w:lineRule="auto"/>
              <w:rPr>
                <w:rFonts w:ascii="Arial"/>
                <w:sz w:val="21"/>
              </w:rPr>
            </w:pPr>
          </w:p>
          <w:p w14:paraId="6DD42F90">
            <w:pPr>
              <w:spacing w:line="247" w:lineRule="auto"/>
              <w:rPr>
                <w:rFonts w:ascii="Arial"/>
                <w:sz w:val="21"/>
              </w:rPr>
            </w:pPr>
          </w:p>
          <w:p w14:paraId="27273178">
            <w:pPr>
              <w:pStyle w:val="7"/>
              <w:spacing w:before="101" w:line="219" w:lineRule="auto"/>
              <w:ind w:left="149"/>
            </w:pPr>
            <w:r>
              <w:rPr>
                <w:spacing w:val="5"/>
              </w:rPr>
              <w:t>耗材监管</w:t>
            </w:r>
          </w:p>
        </w:tc>
        <w:tc>
          <w:tcPr>
            <w:tcW w:w="1895" w:type="dxa"/>
            <w:vAlign w:val="top"/>
          </w:tcPr>
          <w:p w14:paraId="3C062E7D">
            <w:pPr>
              <w:spacing w:line="247" w:lineRule="auto"/>
              <w:rPr>
                <w:rFonts w:ascii="Arial"/>
                <w:sz w:val="21"/>
              </w:rPr>
            </w:pPr>
          </w:p>
          <w:p w14:paraId="05F266CE">
            <w:pPr>
              <w:spacing w:line="247" w:lineRule="auto"/>
              <w:rPr>
                <w:rFonts w:ascii="Arial"/>
                <w:sz w:val="21"/>
              </w:rPr>
            </w:pPr>
          </w:p>
          <w:p w14:paraId="4B9C0EC8">
            <w:pPr>
              <w:spacing w:line="247" w:lineRule="auto"/>
              <w:rPr>
                <w:rFonts w:ascii="Arial"/>
                <w:sz w:val="21"/>
              </w:rPr>
            </w:pPr>
          </w:p>
          <w:p w14:paraId="0D1A19BD">
            <w:pPr>
              <w:spacing w:line="247" w:lineRule="auto"/>
              <w:rPr>
                <w:rFonts w:ascii="Arial"/>
                <w:sz w:val="21"/>
              </w:rPr>
            </w:pPr>
          </w:p>
          <w:p w14:paraId="045AF8E4">
            <w:pPr>
              <w:spacing w:line="247" w:lineRule="auto"/>
              <w:rPr>
                <w:rFonts w:ascii="Arial"/>
                <w:sz w:val="21"/>
              </w:rPr>
            </w:pPr>
          </w:p>
          <w:p w14:paraId="25560BF4">
            <w:pPr>
              <w:spacing w:line="248" w:lineRule="auto"/>
              <w:rPr>
                <w:rFonts w:ascii="Arial"/>
                <w:sz w:val="21"/>
              </w:rPr>
            </w:pPr>
          </w:p>
          <w:p w14:paraId="07407F9C">
            <w:pPr>
              <w:spacing w:line="248" w:lineRule="auto"/>
              <w:rPr>
                <w:rFonts w:ascii="Arial"/>
                <w:sz w:val="21"/>
              </w:rPr>
            </w:pPr>
          </w:p>
          <w:p w14:paraId="352FC0CD">
            <w:pPr>
              <w:pStyle w:val="7"/>
              <w:spacing w:before="101" w:line="264" w:lineRule="auto"/>
              <w:ind w:left="312" w:right="306" w:firstLine="41"/>
            </w:pPr>
            <w:r>
              <w:rPr>
                <w:spacing w:val="-3"/>
              </w:rPr>
              <w:t>医用耗材</w:t>
            </w:r>
            <w:r>
              <w:rPr>
                <w:spacing w:val="7"/>
              </w:rPr>
              <w:t>使用金额</w:t>
            </w:r>
          </w:p>
        </w:tc>
        <w:tc>
          <w:tcPr>
            <w:tcW w:w="3489" w:type="dxa"/>
            <w:vAlign w:val="top"/>
          </w:tcPr>
          <w:p w14:paraId="680C012C">
            <w:pPr>
              <w:pStyle w:val="7"/>
              <w:spacing w:before="82" w:line="257" w:lineRule="auto"/>
              <w:ind w:left="101" w:right="35" w:firstLine="28"/>
              <w:jc w:val="both"/>
            </w:pPr>
            <w:r>
              <w:rPr>
                <w:spacing w:val="18"/>
              </w:rPr>
              <w:t>可结合医院管理实际，</w:t>
            </w:r>
            <w:r>
              <w:rPr>
                <w:spacing w:val="17"/>
              </w:rPr>
              <w:t>制定高值耗材及重点监控耗材目录，按高值耗材、重点监控耗材分类</w:t>
            </w:r>
            <w:r>
              <w:rPr>
                <w:spacing w:val="5"/>
              </w:rPr>
              <w:t>别开展监测，对比前</w:t>
            </w:r>
            <w:r>
              <w:rPr>
                <w:spacing w:val="-34"/>
              </w:rPr>
              <w:t xml:space="preserve"> </w:t>
            </w:r>
            <w:r>
              <w:rPr>
                <w:rFonts w:ascii="Times New Roman" w:hAnsi="Times New Roman" w:eastAsia="Times New Roman" w:cs="Times New Roman"/>
                <w:spacing w:val="5"/>
              </w:rPr>
              <w:t>12</w:t>
            </w:r>
            <w:r>
              <w:rPr>
                <w:spacing w:val="17"/>
              </w:rPr>
              <w:t>个月月均值或上年同期值增长率，设定红、黄预警阈值</w:t>
            </w:r>
            <w:r>
              <w:rPr>
                <w:spacing w:val="-83"/>
              </w:rPr>
              <w:t xml:space="preserve"> </w:t>
            </w:r>
            <w:r>
              <w:rPr>
                <w:spacing w:val="17"/>
              </w:rPr>
              <w:t>，</w:t>
            </w:r>
            <w:r>
              <w:rPr>
                <w:spacing w:val="-90"/>
              </w:rPr>
              <w:t xml:space="preserve"> </w:t>
            </w:r>
            <w:r>
              <w:rPr>
                <w:spacing w:val="17"/>
              </w:rPr>
              <w:t>实现</w:t>
            </w:r>
            <w:r>
              <w:rPr>
                <w:rFonts w:ascii="Times New Roman" w:hAnsi="Times New Roman" w:eastAsia="Times New Roman" w:cs="Times New Roman"/>
                <w:spacing w:val="17"/>
              </w:rPr>
              <w:t>“</w:t>
            </w:r>
            <w:r>
              <w:rPr>
                <w:rFonts w:ascii="Times New Roman" w:hAnsi="Times New Roman" w:eastAsia="Times New Roman" w:cs="Times New Roman"/>
                <w:spacing w:val="-38"/>
              </w:rPr>
              <w:t xml:space="preserve"> </w:t>
            </w:r>
            <w:r>
              <w:rPr>
                <w:spacing w:val="17"/>
              </w:rPr>
              <w:t>科室</w:t>
            </w:r>
            <w:r>
              <w:rPr>
                <w:rFonts w:ascii="Times New Roman" w:hAnsi="Times New Roman" w:eastAsia="Times New Roman" w:cs="Times New Roman"/>
                <w:spacing w:val="17"/>
              </w:rPr>
              <w:t xml:space="preserve">—— </w:t>
            </w:r>
            <w:r>
              <w:rPr>
                <w:spacing w:val="17"/>
              </w:rPr>
              <w:t>医疗组</w:t>
            </w:r>
            <w:r>
              <w:rPr>
                <w:rFonts w:ascii="Times New Roman" w:hAnsi="Times New Roman" w:eastAsia="Times New Roman" w:cs="Times New Roman"/>
                <w:spacing w:val="17"/>
              </w:rPr>
              <w:t xml:space="preserve">—— </w:t>
            </w:r>
            <w:r>
              <w:rPr>
                <w:spacing w:val="17"/>
              </w:rPr>
              <w:t>医生</w:t>
            </w:r>
            <w:r>
              <w:rPr>
                <w:spacing w:val="-96"/>
              </w:rPr>
              <w:t xml:space="preserve"> </w:t>
            </w:r>
            <w:r>
              <w:rPr>
                <w:rFonts w:ascii="Times New Roman" w:hAnsi="Times New Roman" w:eastAsia="Times New Roman" w:cs="Times New Roman"/>
                <w:spacing w:val="17"/>
              </w:rPr>
              <w:t>”</w:t>
            </w:r>
            <w:r>
              <w:rPr>
                <w:spacing w:val="8"/>
              </w:rPr>
              <w:t>三级穿透。</w:t>
            </w:r>
          </w:p>
        </w:tc>
        <w:tc>
          <w:tcPr>
            <w:tcW w:w="2606" w:type="dxa"/>
            <w:vAlign w:val="top"/>
          </w:tcPr>
          <w:p w14:paraId="3CB01A35">
            <w:pPr>
              <w:spacing w:line="267" w:lineRule="auto"/>
              <w:rPr>
                <w:rFonts w:ascii="Arial"/>
                <w:sz w:val="21"/>
              </w:rPr>
            </w:pPr>
          </w:p>
          <w:p w14:paraId="5CE55BD6">
            <w:pPr>
              <w:spacing w:line="267" w:lineRule="auto"/>
              <w:rPr>
                <w:rFonts w:ascii="Arial"/>
                <w:sz w:val="21"/>
              </w:rPr>
            </w:pPr>
          </w:p>
          <w:p w14:paraId="1FC900B4">
            <w:pPr>
              <w:spacing w:line="268" w:lineRule="auto"/>
              <w:rPr>
                <w:rFonts w:ascii="Arial"/>
                <w:sz w:val="21"/>
              </w:rPr>
            </w:pPr>
          </w:p>
          <w:p w14:paraId="0FD1EDC4">
            <w:pPr>
              <w:spacing w:line="268" w:lineRule="auto"/>
              <w:rPr>
                <w:rFonts w:ascii="Arial"/>
                <w:sz w:val="21"/>
              </w:rPr>
            </w:pPr>
          </w:p>
          <w:p w14:paraId="6E9ADC57">
            <w:pPr>
              <w:pStyle w:val="7"/>
              <w:spacing w:before="101" w:line="263" w:lineRule="auto"/>
              <w:ind w:left="121" w:right="87" w:firstLine="5"/>
              <w:jc w:val="both"/>
            </w:pPr>
            <w:r>
              <w:rPr>
                <w:spacing w:val="-12"/>
              </w:rPr>
              <w:t>黄色预警：使用金</w:t>
            </w:r>
            <w:r>
              <w:rPr>
                <w:spacing w:val="-14"/>
              </w:rPr>
              <w:t>额增长</w:t>
            </w:r>
            <w:r>
              <w:rPr>
                <w:spacing w:val="-89"/>
              </w:rPr>
              <w:t xml:space="preserve"> </w:t>
            </w:r>
            <w:r>
              <w:rPr>
                <w:rFonts w:ascii="Times New Roman" w:hAnsi="Times New Roman" w:eastAsia="Times New Roman" w:cs="Times New Roman"/>
                <w:spacing w:val="-14"/>
              </w:rPr>
              <w:t>30%-50%</w:t>
            </w:r>
            <w:r>
              <w:rPr>
                <w:spacing w:val="-14"/>
              </w:rPr>
              <w:t>；</w:t>
            </w:r>
            <w:r>
              <w:rPr>
                <w:spacing w:val="28"/>
              </w:rPr>
              <w:t>红色预警：使用</w:t>
            </w:r>
            <w:r>
              <w:rPr>
                <w:spacing w:val="-10"/>
              </w:rPr>
              <w:t>金</w:t>
            </w:r>
            <w:r>
              <w:rPr>
                <w:spacing w:val="-42"/>
              </w:rPr>
              <w:t xml:space="preserve"> </w:t>
            </w:r>
            <w:r>
              <w:rPr>
                <w:spacing w:val="-10"/>
              </w:rPr>
              <w:t>额</w:t>
            </w:r>
            <w:r>
              <w:rPr>
                <w:spacing w:val="-53"/>
              </w:rPr>
              <w:t xml:space="preserve"> </w:t>
            </w:r>
            <w:r>
              <w:rPr>
                <w:spacing w:val="-10"/>
              </w:rPr>
              <w:t>增</w:t>
            </w:r>
            <w:r>
              <w:rPr>
                <w:spacing w:val="-42"/>
              </w:rPr>
              <w:t xml:space="preserve"> </w:t>
            </w:r>
            <w:r>
              <w:rPr>
                <w:spacing w:val="-10"/>
              </w:rPr>
              <w:t>长</w:t>
            </w:r>
            <w:r>
              <w:rPr>
                <w:spacing w:val="-35"/>
              </w:rPr>
              <w:t xml:space="preserve"> </w:t>
            </w:r>
            <w:r>
              <w:rPr>
                <w:spacing w:val="-10"/>
              </w:rPr>
              <w:t>大</w:t>
            </w:r>
            <w:r>
              <w:rPr>
                <w:spacing w:val="-34"/>
              </w:rPr>
              <w:t xml:space="preserve"> </w:t>
            </w:r>
            <w:r>
              <w:rPr>
                <w:spacing w:val="-10"/>
              </w:rPr>
              <w:t>于</w:t>
            </w:r>
            <w:r>
              <w:rPr>
                <w:rFonts w:ascii="Times New Roman" w:hAnsi="Times New Roman" w:eastAsia="Times New Roman" w:cs="Times New Roman"/>
              </w:rPr>
              <w:t>50%</w:t>
            </w:r>
            <w:r>
              <w:t>。</w:t>
            </w:r>
          </w:p>
        </w:tc>
      </w:tr>
      <w:tr w14:paraId="2FB7E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1554" w:type="dxa"/>
            <w:vMerge w:val="continue"/>
            <w:tcBorders>
              <w:top w:val="nil"/>
              <w:bottom w:val="nil"/>
            </w:tcBorders>
            <w:vAlign w:val="top"/>
          </w:tcPr>
          <w:p w14:paraId="2FE848D4">
            <w:pPr>
              <w:rPr>
                <w:rFonts w:ascii="Arial"/>
                <w:sz w:val="21"/>
              </w:rPr>
            </w:pPr>
          </w:p>
        </w:tc>
        <w:tc>
          <w:tcPr>
            <w:tcW w:w="1895" w:type="dxa"/>
            <w:vAlign w:val="top"/>
          </w:tcPr>
          <w:p w14:paraId="1CABF641">
            <w:pPr>
              <w:spacing w:line="318" w:lineRule="auto"/>
              <w:rPr>
                <w:rFonts w:ascii="Arial"/>
                <w:sz w:val="21"/>
              </w:rPr>
            </w:pPr>
          </w:p>
          <w:p w14:paraId="0C4DFA0E">
            <w:pPr>
              <w:spacing w:line="318" w:lineRule="auto"/>
              <w:rPr>
                <w:rFonts w:ascii="Arial"/>
                <w:sz w:val="21"/>
              </w:rPr>
            </w:pPr>
          </w:p>
          <w:p w14:paraId="0C1D817B">
            <w:pPr>
              <w:pStyle w:val="7"/>
              <w:spacing w:before="101" w:line="262" w:lineRule="auto"/>
              <w:ind w:left="469" w:right="148" w:hanging="311"/>
            </w:pPr>
            <w:r>
              <w:rPr>
                <w:spacing w:val="6"/>
              </w:rPr>
              <w:t>耗材供应商</w:t>
            </w:r>
            <w:r>
              <w:rPr>
                <w:spacing w:val="7"/>
              </w:rPr>
              <w:t>销售额</w:t>
            </w:r>
          </w:p>
        </w:tc>
        <w:tc>
          <w:tcPr>
            <w:tcW w:w="3489" w:type="dxa"/>
            <w:vAlign w:val="top"/>
          </w:tcPr>
          <w:p w14:paraId="73E2C716">
            <w:pPr>
              <w:pStyle w:val="7"/>
              <w:spacing w:before="78" w:line="252" w:lineRule="auto"/>
              <w:ind w:left="114" w:right="105" w:firstLine="7"/>
              <w:jc w:val="both"/>
            </w:pPr>
            <w:r>
              <w:rPr>
                <w:spacing w:val="15"/>
              </w:rPr>
              <w:t>对耗材供应商月度销售</w:t>
            </w:r>
            <w:r>
              <w:rPr>
                <w:spacing w:val="4"/>
              </w:rPr>
              <w:t>额开展监测，对比前</w:t>
            </w:r>
            <w:r>
              <w:rPr>
                <w:spacing w:val="-36"/>
              </w:rPr>
              <w:t xml:space="preserve"> </w:t>
            </w:r>
            <w:r>
              <w:rPr>
                <w:rFonts w:ascii="Times New Roman" w:hAnsi="Times New Roman" w:eastAsia="Times New Roman" w:cs="Times New Roman"/>
                <w:spacing w:val="4"/>
              </w:rPr>
              <w:t>12</w:t>
            </w:r>
            <w:r>
              <w:rPr>
                <w:spacing w:val="16"/>
              </w:rPr>
              <w:t>个月月均值或上年同期值增长率设定红、黄预</w:t>
            </w:r>
            <w:r>
              <w:rPr>
                <w:spacing w:val="4"/>
              </w:rPr>
              <w:t>警阈值。</w:t>
            </w:r>
          </w:p>
        </w:tc>
        <w:tc>
          <w:tcPr>
            <w:tcW w:w="2606" w:type="dxa"/>
            <w:vAlign w:val="top"/>
          </w:tcPr>
          <w:p w14:paraId="58508ED8">
            <w:pPr>
              <w:pStyle w:val="7"/>
              <w:spacing w:before="297" w:line="262" w:lineRule="auto"/>
              <w:ind w:left="115" w:right="87" w:firstLine="11"/>
            </w:pPr>
            <w:r>
              <w:rPr>
                <w:spacing w:val="-12"/>
              </w:rPr>
              <w:t>黄色预警：销售额</w:t>
            </w:r>
            <w:r>
              <w:rPr>
                <w:spacing w:val="-6"/>
              </w:rPr>
              <w:t>增长</w:t>
            </w:r>
            <w:r>
              <w:rPr>
                <w:spacing w:val="-84"/>
              </w:rPr>
              <w:t xml:space="preserve"> </w:t>
            </w:r>
            <w:r>
              <w:rPr>
                <w:rFonts w:ascii="Times New Roman" w:hAnsi="Times New Roman" w:eastAsia="Times New Roman" w:cs="Times New Roman"/>
                <w:spacing w:val="-6"/>
              </w:rPr>
              <w:t>30%-50%</w:t>
            </w:r>
            <w:r>
              <w:rPr>
                <w:spacing w:val="-6"/>
              </w:rPr>
              <w:t>；</w:t>
            </w:r>
          </w:p>
          <w:p w14:paraId="2F3BA18B">
            <w:pPr>
              <w:pStyle w:val="7"/>
              <w:spacing w:line="262" w:lineRule="auto"/>
              <w:ind w:left="126" w:right="17"/>
            </w:pPr>
            <w:r>
              <w:rPr>
                <w:spacing w:val="27"/>
              </w:rPr>
              <w:t>红色预警：销售</w:t>
            </w:r>
            <w:r>
              <w:rPr>
                <w:spacing w:val="3"/>
              </w:rPr>
              <w:t>额增长大于</w:t>
            </w:r>
            <w:r>
              <w:rPr>
                <w:rFonts w:ascii="Times New Roman" w:hAnsi="Times New Roman" w:eastAsia="Times New Roman" w:cs="Times New Roman"/>
                <w:spacing w:val="3"/>
              </w:rPr>
              <w:t>50%</w:t>
            </w:r>
            <w:r>
              <w:rPr>
                <w:spacing w:val="3"/>
              </w:rPr>
              <w:t>。</w:t>
            </w:r>
          </w:p>
        </w:tc>
      </w:tr>
      <w:tr w14:paraId="1E862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4" w:hRule="atLeast"/>
        </w:trPr>
        <w:tc>
          <w:tcPr>
            <w:tcW w:w="1554" w:type="dxa"/>
            <w:vMerge w:val="continue"/>
            <w:tcBorders>
              <w:top w:val="nil"/>
            </w:tcBorders>
            <w:vAlign w:val="top"/>
          </w:tcPr>
          <w:p w14:paraId="4482FB81">
            <w:pPr>
              <w:rPr>
                <w:rFonts w:ascii="Arial"/>
                <w:sz w:val="21"/>
              </w:rPr>
            </w:pPr>
          </w:p>
        </w:tc>
        <w:tc>
          <w:tcPr>
            <w:tcW w:w="1895" w:type="dxa"/>
            <w:vAlign w:val="top"/>
          </w:tcPr>
          <w:p w14:paraId="198E191D">
            <w:pPr>
              <w:spacing w:line="318" w:lineRule="auto"/>
              <w:rPr>
                <w:rFonts w:ascii="Arial"/>
                <w:sz w:val="21"/>
              </w:rPr>
            </w:pPr>
          </w:p>
          <w:p w14:paraId="79E1396A">
            <w:pPr>
              <w:spacing w:line="318" w:lineRule="auto"/>
              <w:rPr>
                <w:rFonts w:ascii="Arial"/>
                <w:sz w:val="21"/>
              </w:rPr>
            </w:pPr>
          </w:p>
          <w:p w14:paraId="72982E86">
            <w:pPr>
              <w:pStyle w:val="7"/>
              <w:spacing w:before="101" w:line="264" w:lineRule="auto"/>
              <w:ind w:left="312" w:right="306" w:firstLine="22"/>
            </w:pPr>
            <w:r>
              <w:rPr>
                <w:spacing w:val="1"/>
              </w:rPr>
              <w:t>临采耗材</w:t>
            </w:r>
            <w:r>
              <w:rPr>
                <w:spacing w:val="7"/>
              </w:rPr>
              <w:t>使用金额</w:t>
            </w:r>
          </w:p>
        </w:tc>
        <w:tc>
          <w:tcPr>
            <w:tcW w:w="3489" w:type="dxa"/>
            <w:vAlign w:val="top"/>
          </w:tcPr>
          <w:p w14:paraId="3F2CBF85">
            <w:pPr>
              <w:pStyle w:val="7"/>
              <w:spacing w:before="306" w:line="261" w:lineRule="auto"/>
              <w:ind w:left="116" w:right="107" w:firstLine="6"/>
              <w:jc w:val="both"/>
            </w:pPr>
            <w:r>
              <w:rPr>
                <w:spacing w:val="15"/>
              </w:rPr>
              <w:t>对科室每月临采耗材使</w:t>
            </w:r>
            <w:r>
              <w:rPr>
                <w:spacing w:val="16"/>
              </w:rPr>
              <w:t>用金额开展监测，对比</w:t>
            </w:r>
            <w:r>
              <w:rPr>
                <w:spacing w:val="17"/>
              </w:rPr>
              <w:t xml:space="preserve">前 </w:t>
            </w:r>
            <w:r>
              <w:rPr>
                <w:rFonts w:ascii="Times New Roman" w:hAnsi="Times New Roman" w:eastAsia="Times New Roman" w:cs="Times New Roman"/>
                <w:spacing w:val="17"/>
              </w:rPr>
              <w:t>12</w:t>
            </w:r>
            <w:r>
              <w:rPr>
                <w:rFonts w:ascii="Times New Roman" w:hAnsi="Times New Roman" w:eastAsia="Times New Roman" w:cs="Times New Roman"/>
                <w:spacing w:val="50"/>
              </w:rPr>
              <w:t xml:space="preserve"> </w:t>
            </w:r>
            <w:r>
              <w:rPr>
                <w:spacing w:val="17"/>
              </w:rPr>
              <w:t>个月月均值增幅</w:t>
            </w:r>
            <w:r>
              <w:rPr>
                <w:spacing w:val="7"/>
              </w:rPr>
              <w:t>设定红、黄预警阈值。</w:t>
            </w:r>
          </w:p>
        </w:tc>
        <w:tc>
          <w:tcPr>
            <w:tcW w:w="2606" w:type="dxa"/>
            <w:vAlign w:val="top"/>
          </w:tcPr>
          <w:p w14:paraId="56833895">
            <w:pPr>
              <w:pStyle w:val="7"/>
              <w:spacing w:before="78" w:line="252" w:lineRule="auto"/>
              <w:ind w:left="121" w:right="87" w:firstLine="5"/>
              <w:jc w:val="both"/>
            </w:pPr>
            <w:r>
              <w:rPr>
                <w:spacing w:val="-12"/>
              </w:rPr>
              <w:t>黄色预警：使用金</w:t>
            </w:r>
            <w:r>
              <w:rPr>
                <w:spacing w:val="-14"/>
              </w:rPr>
              <w:t>额增长</w:t>
            </w:r>
            <w:r>
              <w:rPr>
                <w:spacing w:val="-89"/>
              </w:rPr>
              <w:t xml:space="preserve"> </w:t>
            </w:r>
            <w:r>
              <w:rPr>
                <w:rFonts w:ascii="Times New Roman" w:hAnsi="Times New Roman" w:eastAsia="Times New Roman" w:cs="Times New Roman"/>
                <w:spacing w:val="-14"/>
              </w:rPr>
              <w:t>30%-50%</w:t>
            </w:r>
            <w:r>
              <w:rPr>
                <w:spacing w:val="-14"/>
              </w:rPr>
              <w:t>；</w:t>
            </w:r>
            <w:r>
              <w:rPr>
                <w:spacing w:val="28"/>
              </w:rPr>
              <w:t>红色预警：使用</w:t>
            </w:r>
            <w:r>
              <w:rPr>
                <w:spacing w:val="-10"/>
              </w:rPr>
              <w:t>金</w:t>
            </w:r>
            <w:r>
              <w:rPr>
                <w:spacing w:val="-42"/>
              </w:rPr>
              <w:t xml:space="preserve"> </w:t>
            </w:r>
            <w:r>
              <w:rPr>
                <w:spacing w:val="-10"/>
              </w:rPr>
              <w:t>额</w:t>
            </w:r>
            <w:r>
              <w:rPr>
                <w:spacing w:val="-53"/>
              </w:rPr>
              <w:t xml:space="preserve"> </w:t>
            </w:r>
            <w:r>
              <w:rPr>
                <w:spacing w:val="-10"/>
              </w:rPr>
              <w:t>增</w:t>
            </w:r>
            <w:r>
              <w:rPr>
                <w:spacing w:val="-42"/>
              </w:rPr>
              <w:t xml:space="preserve"> </w:t>
            </w:r>
            <w:r>
              <w:rPr>
                <w:spacing w:val="-10"/>
              </w:rPr>
              <w:t>长</w:t>
            </w:r>
            <w:r>
              <w:rPr>
                <w:spacing w:val="-35"/>
              </w:rPr>
              <w:t xml:space="preserve"> </w:t>
            </w:r>
            <w:r>
              <w:rPr>
                <w:spacing w:val="-10"/>
              </w:rPr>
              <w:t>大</w:t>
            </w:r>
            <w:r>
              <w:rPr>
                <w:spacing w:val="-34"/>
              </w:rPr>
              <w:t xml:space="preserve"> </w:t>
            </w:r>
            <w:r>
              <w:rPr>
                <w:spacing w:val="-10"/>
              </w:rPr>
              <w:t>于</w:t>
            </w:r>
            <w:r>
              <w:rPr>
                <w:rFonts w:ascii="Times New Roman" w:hAnsi="Times New Roman" w:eastAsia="Times New Roman" w:cs="Times New Roman"/>
              </w:rPr>
              <w:t>50%</w:t>
            </w:r>
            <w:r>
              <w:t>。</w:t>
            </w:r>
          </w:p>
        </w:tc>
      </w:tr>
      <w:tr w14:paraId="1A537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6" w:hRule="atLeast"/>
        </w:trPr>
        <w:tc>
          <w:tcPr>
            <w:tcW w:w="1554" w:type="dxa"/>
            <w:vAlign w:val="top"/>
          </w:tcPr>
          <w:p w14:paraId="58844F93">
            <w:pPr>
              <w:spacing w:line="271" w:lineRule="auto"/>
              <w:rPr>
                <w:rFonts w:ascii="Arial"/>
                <w:sz w:val="21"/>
              </w:rPr>
            </w:pPr>
          </w:p>
          <w:p w14:paraId="3DC1672B">
            <w:pPr>
              <w:spacing w:line="272" w:lineRule="auto"/>
              <w:rPr>
                <w:rFonts w:ascii="Arial"/>
                <w:sz w:val="21"/>
              </w:rPr>
            </w:pPr>
          </w:p>
          <w:p w14:paraId="1B83D28C">
            <w:pPr>
              <w:spacing w:line="272" w:lineRule="auto"/>
              <w:rPr>
                <w:rFonts w:ascii="Arial"/>
                <w:sz w:val="21"/>
              </w:rPr>
            </w:pPr>
          </w:p>
          <w:p w14:paraId="3EF6F2C7">
            <w:pPr>
              <w:spacing w:line="272" w:lineRule="auto"/>
              <w:rPr>
                <w:rFonts w:ascii="Arial"/>
                <w:sz w:val="21"/>
              </w:rPr>
            </w:pPr>
          </w:p>
          <w:p w14:paraId="07A0C2E7">
            <w:pPr>
              <w:spacing w:line="272" w:lineRule="auto"/>
              <w:rPr>
                <w:rFonts w:ascii="Arial"/>
                <w:sz w:val="21"/>
              </w:rPr>
            </w:pPr>
          </w:p>
          <w:p w14:paraId="73ADA923">
            <w:pPr>
              <w:spacing w:line="272" w:lineRule="auto"/>
              <w:rPr>
                <w:rFonts w:ascii="Arial"/>
                <w:sz w:val="21"/>
              </w:rPr>
            </w:pPr>
          </w:p>
          <w:p w14:paraId="778330E5">
            <w:pPr>
              <w:pStyle w:val="7"/>
              <w:spacing w:before="100" w:line="219" w:lineRule="auto"/>
              <w:ind w:left="147"/>
            </w:pPr>
            <w:r>
              <w:rPr>
                <w:spacing w:val="6"/>
              </w:rPr>
              <w:t>设备监管</w:t>
            </w:r>
          </w:p>
        </w:tc>
        <w:tc>
          <w:tcPr>
            <w:tcW w:w="1895" w:type="dxa"/>
            <w:vAlign w:val="top"/>
          </w:tcPr>
          <w:p w14:paraId="621FDBF5">
            <w:pPr>
              <w:spacing w:line="285" w:lineRule="auto"/>
              <w:rPr>
                <w:rFonts w:ascii="Arial"/>
                <w:sz w:val="21"/>
              </w:rPr>
            </w:pPr>
          </w:p>
          <w:p w14:paraId="74831A28">
            <w:pPr>
              <w:spacing w:line="286" w:lineRule="auto"/>
              <w:rPr>
                <w:rFonts w:ascii="Arial"/>
                <w:sz w:val="21"/>
              </w:rPr>
            </w:pPr>
          </w:p>
          <w:p w14:paraId="0FB2C054">
            <w:pPr>
              <w:spacing w:line="286" w:lineRule="auto"/>
              <w:rPr>
                <w:rFonts w:ascii="Arial"/>
                <w:sz w:val="21"/>
              </w:rPr>
            </w:pPr>
          </w:p>
          <w:p w14:paraId="22B5F062">
            <w:pPr>
              <w:spacing w:line="286" w:lineRule="auto"/>
              <w:rPr>
                <w:rFonts w:ascii="Arial"/>
                <w:sz w:val="21"/>
              </w:rPr>
            </w:pPr>
          </w:p>
          <w:p w14:paraId="2D696E43">
            <w:pPr>
              <w:spacing w:line="286" w:lineRule="auto"/>
              <w:rPr>
                <w:rFonts w:ascii="Arial"/>
                <w:sz w:val="21"/>
              </w:rPr>
            </w:pPr>
          </w:p>
          <w:p w14:paraId="5810F50F">
            <w:pPr>
              <w:pStyle w:val="7"/>
              <w:spacing w:before="101" w:line="263" w:lineRule="auto"/>
              <w:ind w:left="647" w:right="306" w:hanging="331"/>
            </w:pPr>
            <w:r>
              <w:rPr>
                <w:spacing w:val="6"/>
              </w:rPr>
              <w:t>设备采购</w:t>
            </w:r>
            <w:r>
              <w:rPr>
                <w:spacing w:val="-4"/>
              </w:rPr>
              <w:t>情况</w:t>
            </w:r>
          </w:p>
        </w:tc>
        <w:tc>
          <w:tcPr>
            <w:tcW w:w="3489" w:type="dxa"/>
            <w:vAlign w:val="top"/>
          </w:tcPr>
          <w:p w14:paraId="500E035D">
            <w:pPr>
              <w:spacing w:line="278" w:lineRule="auto"/>
              <w:rPr>
                <w:rFonts w:ascii="Arial"/>
                <w:sz w:val="21"/>
              </w:rPr>
            </w:pPr>
          </w:p>
          <w:p w14:paraId="393C76CE">
            <w:pPr>
              <w:spacing w:line="279" w:lineRule="auto"/>
              <w:rPr>
                <w:rFonts w:ascii="Arial"/>
                <w:sz w:val="21"/>
              </w:rPr>
            </w:pPr>
          </w:p>
          <w:p w14:paraId="602D1BCE">
            <w:pPr>
              <w:pStyle w:val="7"/>
              <w:spacing w:before="101" w:line="262" w:lineRule="auto"/>
              <w:ind w:left="110" w:right="9" w:firstLine="11"/>
              <w:jc w:val="both"/>
            </w:pPr>
            <w:r>
              <w:rPr>
                <w:spacing w:val="15"/>
              </w:rPr>
              <w:t>对医院医疗设备采购信</w:t>
            </w:r>
            <w:r>
              <w:rPr>
                <w:spacing w:val="16"/>
              </w:rPr>
              <w:t>息进行归集，涵盖设备</w:t>
            </w:r>
            <w:r>
              <w:rPr>
                <w:spacing w:val="9"/>
              </w:rPr>
              <w:t>名称、金额、</w:t>
            </w:r>
            <w:r>
              <w:rPr>
                <w:spacing w:val="-80"/>
              </w:rPr>
              <w:t xml:space="preserve"> </w:t>
            </w:r>
            <w:r>
              <w:rPr>
                <w:spacing w:val="9"/>
              </w:rPr>
              <w:t>品牌、型</w:t>
            </w:r>
            <w:r>
              <w:rPr>
                <w:spacing w:val="-5"/>
              </w:rPr>
              <w:t>号等内容，从采购预算、</w:t>
            </w:r>
            <w:r>
              <w:rPr>
                <w:spacing w:val="10"/>
              </w:rPr>
              <w:t>中标供应商、</w:t>
            </w:r>
            <w:r>
              <w:rPr>
                <w:spacing w:val="-90"/>
              </w:rPr>
              <w:t xml:space="preserve"> </w:t>
            </w:r>
            <w:r>
              <w:rPr>
                <w:spacing w:val="10"/>
              </w:rPr>
              <w:t>中标价格</w:t>
            </w:r>
            <w:r>
              <w:rPr>
                <w:spacing w:val="6"/>
              </w:rPr>
              <w:t>进行分析。</w:t>
            </w:r>
          </w:p>
        </w:tc>
        <w:tc>
          <w:tcPr>
            <w:tcW w:w="2606" w:type="dxa"/>
            <w:vAlign w:val="top"/>
          </w:tcPr>
          <w:p w14:paraId="01987418">
            <w:pPr>
              <w:pStyle w:val="7"/>
              <w:spacing w:before="81" w:line="262" w:lineRule="auto"/>
              <w:ind w:left="119" w:right="109" w:firstLine="9"/>
              <w:jc w:val="both"/>
            </w:pPr>
            <w:r>
              <w:rPr>
                <w:spacing w:val="27"/>
              </w:rPr>
              <w:t>结合医院管理实</w:t>
            </w:r>
            <w:r>
              <w:rPr>
                <w:spacing w:val="18"/>
              </w:rPr>
              <w:t>际</w:t>
            </w:r>
            <w:r>
              <w:rPr>
                <w:spacing w:val="-80"/>
              </w:rPr>
              <w:t xml:space="preserve"> </w:t>
            </w:r>
            <w:r>
              <w:rPr>
                <w:spacing w:val="18"/>
              </w:rPr>
              <w:t>，根据超预算</w:t>
            </w:r>
            <w:r>
              <w:rPr>
                <w:spacing w:val="20"/>
              </w:rPr>
              <w:t>采购</w:t>
            </w:r>
            <w:r>
              <w:rPr>
                <w:spacing w:val="-93"/>
              </w:rPr>
              <w:t xml:space="preserve"> </w:t>
            </w:r>
            <w:r>
              <w:rPr>
                <w:spacing w:val="20"/>
              </w:rPr>
              <w:t>、设备供应</w:t>
            </w:r>
            <w:r>
              <w:rPr>
                <w:spacing w:val="8"/>
              </w:rPr>
              <w:t>排名</w:t>
            </w:r>
            <w:r>
              <w:rPr>
                <w:spacing w:val="-87"/>
              </w:rPr>
              <w:t xml:space="preserve"> </w:t>
            </w:r>
            <w:r>
              <w:rPr>
                <w:spacing w:val="8"/>
              </w:rPr>
              <w:t>、</w:t>
            </w:r>
            <w:r>
              <w:rPr>
                <w:spacing w:val="-78"/>
              </w:rPr>
              <w:t xml:space="preserve"> </w:t>
            </w:r>
            <w:r>
              <w:rPr>
                <w:spacing w:val="8"/>
              </w:rPr>
              <w:t>同一供应</w:t>
            </w:r>
            <w:r>
              <w:rPr>
                <w:spacing w:val="19"/>
              </w:rPr>
              <w:t>商连续中标</w:t>
            </w:r>
            <w:r>
              <w:rPr>
                <w:spacing w:val="-87"/>
              </w:rPr>
              <w:t xml:space="preserve"> </w:t>
            </w:r>
            <w:r>
              <w:rPr>
                <w:spacing w:val="19"/>
              </w:rPr>
              <w:t>、采</w:t>
            </w:r>
            <w:r>
              <w:rPr>
                <w:spacing w:val="28"/>
              </w:rPr>
              <w:t>购价格高于全省平均水平等设置</w:t>
            </w:r>
            <w:r>
              <w:rPr>
                <w:spacing w:val="1"/>
              </w:rPr>
              <w:t>阈值。</w:t>
            </w:r>
          </w:p>
        </w:tc>
      </w:tr>
    </w:tbl>
    <w:p w14:paraId="7D16AED2">
      <w:pPr>
        <w:rPr>
          <w:rFonts w:ascii="Arial"/>
          <w:sz w:val="21"/>
        </w:rPr>
      </w:pPr>
    </w:p>
    <w:p w14:paraId="535BB58C">
      <w:pPr>
        <w:rPr>
          <w:rFonts w:ascii="Arial" w:hAnsi="Arial" w:eastAsia="Arial" w:cs="Arial"/>
          <w:sz w:val="21"/>
          <w:szCs w:val="21"/>
        </w:rPr>
        <w:sectPr>
          <w:footerReference r:id="rId7" w:type="default"/>
          <w:pgSz w:w="11906" w:h="16839"/>
          <w:pgMar w:top="1431" w:right="1121" w:bottom="1722" w:left="1235" w:header="0" w:footer="1328" w:gutter="0"/>
          <w:cols w:space="720" w:num="1"/>
        </w:sectPr>
      </w:pPr>
    </w:p>
    <w:p w14:paraId="07F18102">
      <w:pPr>
        <w:spacing w:before="92"/>
      </w:pPr>
    </w:p>
    <w:p w14:paraId="2B25BFE3">
      <w:pPr>
        <w:spacing w:before="91"/>
      </w:pPr>
    </w:p>
    <w:tbl>
      <w:tblPr>
        <w:tblStyle w:val="6"/>
        <w:tblW w:w="95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1895"/>
        <w:gridCol w:w="3489"/>
        <w:gridCol w:w="2606"/>
      </w:tblGrid>
      <w:tr w14:paraId="766EA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6" w:hRule="atLeast"/>
        </w:trPr>
        <w:tc>
          <w:tcPr>
            <w:tcW w:w="1554" w:type="dxa"/>
            <w:vMerge w:val="restart"/>
            <w:tcBorders>
              <w:bottom w:val="nil"/>
            </w:tcBorders>
            <w:vAlign w:val="top"/>
          </w:tcPr>
          <w:p w14:paraId="1140588B">
            <w:pPr>
              <w:rPr>
                <w:rFonts w:ascii="Arial"/>
                <w:sz w:val="21"/>
              </w:rPr>
            </w:pPr>
          </w:p>
          <w:p w14:paraId="410B6355">
            <w:pPr>
              <w:rPr>
                <w:rFonts w:ascii="Arial"/>
                <w:sz w:val="21"/>
              </w:rPr>
            </w:pPr>
          </w:p>
          <w:p w14:paraId="7A17285C">
            <w:pPr>
              <w:rPr>
                <w:rFonts w:ascii="Arial"/>
                <w:sz w:val="21"/>
              </w:rPr>
            </w:pPr>
          </w:p>
          <w:p w14:paraId="317DED63">
            <w:pPr>
              <w:spacing w:line="241" w:lineRule="auto"/>
              <w:rPr>
                <w:rFonts w:ascii="Arial"/>
                <w:sz w:val="21"/>
              </w:rPr>
            </w:pPr>
          </w:p>
          <w:p w14:paraId="673A142E">
            <w:pPr>
              <w:spacing w:line="241" w:lineRule="auto"/>
              <w:rPr>
                <w:rFonts w:ascii="Arial"/>
                <w:sz w:val="21"/>
              </w:rPr>
            </w:pPr>
          </w:p>
          <w:p w14:paraId="0E5E81C3">
            <w:pPr>
              <w:spacing w:line="241" w:lineRule="auto"/>
              <w:rPr>
                <w:rFonts w:ascii="Arial"/>
                <w:sz w:val="21"/>
              </w:rPr>
            </w:pPr>
          </w:p>
          <w:p w14:paraId="69DB100D">
            <w:pPr>
              <w:spacing w:line="241" w:lineRule="auto"/>
              <w:rPr>
                <w:rFonts w:ascii="Arial"/>
                <w:sz w:val="21"/>
              </w:rPr>
            </w:pPr>
          </w:p>
          <w:p w14:paraId="53988874">
            <w:pPr>
              <w:spacing w:line="241" w:lineRule="auto"/>
              <w:rPr>
                <w:rFonts w:ascii="Arial"/>
                <w:sz w:val="21"/>
              </w:rPr>
            </w:pPr>
          </w:p>
          <w:p w14:paraId="15849D55">
            <w:pPr>
              <w:spacing w:line="241" w:lineRule="auto"/>
              <w:rPr>
                <w:rFonts w:ascii="Arial"/>
                <w:sz w:val="21"/>
              </w:rPr>
            </w:pPr>
          </w:p>
          <w:p w14:paraId="5BC1BD7A">
            <w:pPr>
              <w:spacing w:line="241" w:lineRule="auto"/>
              <w:rPr>
                <w:rFonts w:ascii="Arial"/>
                <w:sz w:val="21"/>
              </w:rPr>
            </w:pPr>
          </w:p>
          <w:p w14:paraId="750B1FBF">
            <w:pPr>
              <w:spacing w:line="241" w:lineRule="auto"/>
              <w:rPr>
                <w:rFonts w:ascii="Arial"/>
                <w:sz w:val="21"/>
              </w:rPr>
            </w:pPr>
          </w:p>
          <w:p w14:paraId="546CE861">
            <w:pPr>
              <w:pStyle w:val="7"/>
              <w:spacing w:before="101" w:line="219" w:lineRule="auto"/>
              <w:ind w:left="147"/>
            </w:pPr>
            <w:r>
              <w:rPr>
                <w:spacing w:val="6"/>
              </w:rPr>
              <w:t>设备监管</w:t>
            </w:r>
          </w:p>
        </w:tc>
        <w:tc>
          <w:tcPr>
            <w:tcW w:w="1895" w:type="dxa"/>
            <w:vAlign w:val="top"/>
          </w:tcPr>
          <w:p w14:paraId="436FBCBF">
            <w:pPr>
              <w:spacing w:line="259" w:lineRule="auto"/>
              <w:rPr>
                <w:rFonts w:ascii="Arial"/>
                <w:sz w:val="21"/>
              </w:rPr>
            </w:pPr>
          </w:p>
          <w:p w14:paraId="1038D13C">
            <w:pPr>
              <w:spacing w:line="259" w:lineRule="auto"/>
              <w:rPr>
                <w:rFonts w:ascii="Arial"/>
                <w:sz w:val="21"/>
              </w:rPr>
            </w:pPr>
          </w:p>
          <w:p w14:paraId="1FD9D907">
            <w:pPr>
              <w:spacing w:line="259" w:lineRule="auto"/>
              <w:rPr>
                <w:rFonts w:ascii="Arial"/>
                <w:sz w:val="21"/>
              </w:rPr>
            </w:pPr>
          </w:p>
          <w:p w14:paraId="4877502F">
            <w:pPr>
              <w:spacing w:line="259" w:lineRule="auto"/>
              <w:rPr>
                <w:rFonts w:ascii="Arial"/>
                <w:sz w:val="21"/>
              </w:rPr>
            </w:pPr>
          </w:p>
          <w:p w14:paraId="6340789B">
            <w:pPr>
              <w:spacing w:line="259" w:lineRule="auto"/>
              <w:rPr>
                <w:rFonts w:ascii="Arial"/>
                <w:sz w:val="21"/>
              </w:rPr>
            </w:pPr>
          </w:p>
          <w:p w14:paraId="266802C6">
            <w:pPr>
              <w:pStyle w:val="7"/>
              <w:spacing w:before="101" w:line="262" w:lineRule="auto"/>
              <w:ind w:left="647" w:right="306" w:hanging="331"/>
            </w:pPr>
            <w:r>
              <w:rPr>
                <w:spacing w:val="6"/>
              </w:rPr>
              <w:t>设备使用</w:t>
            </w:r>
            <w:r>
              <w:rPr>
                <w:spacing w:val="-4"/>
              </w:rPr>
              <w:t>情况</w:t>
            </w:r>
          </w:p>
        </w:tc>
        <w:tc>
          <w:tcPr>
            <w:tcW w:w="3489" w:type="dxa"/>
            <w:vAlign w:val="top"/>
          </w:tcPr>
          <w:p w14:paraId="6456D6B0">
            <w:pPr>
              <w:pStyle w:val="7"/>
              <w:spacing w:before="90" w:line="255" w:lineRule="auto"/>
              <w:ind w:left="112" w:right="104" w:firstLine="13"/>
            </w:pPr>
            <w:r>
              <w:rPr>
                <w:spacing w:val="15"/>
              </w:rPr>
              <w:t>结合医院管理实际，对</w:t>
            </w:r>
            <w:r>
              <w:rPr>
                <w:spacing w:val="16"/>
              </w:rPr>
              <w:t>重点医用设备进行使用率监管（如大型设备、</w:t>
            </w:r>
            <w:r>
              <w:rPr>
                <w:spacing w:val="7"/>
              </w:rPr>
              <w:t>新购入设备等</w:t>
            </w:r>
            <w:r>
              <w:rPr>
                <w:spacing w:val="-104"/>
              </w:rPr>
              <w:t>），</w:t>
            </w:r>
            <w:r>
              <w:rPr>
                <w:spacing w:val="7"/>
              </w:rPr>
              <w:t>每季度</w:t>
            </w:r>
            <w:r>
              <w:rPr>
                <w:spacing w:val="16"/>
              </w:rPr>
              <w:t>或每半年评估设备实际使用情况，对照科室预期使用率，按达标情况</w:t>
            </w:r>
            <w:r>
              <w:rPr>
                <w:spacing w:val="7"/>
              </w:rPr>
              <w:t>设置红、黄预警。</w:t>
            </w:r>
          </w:p>
        </w:tc>
        <w:tc>
          <w:tcPr>
            <w:tcW w:w="2606" w:type="dxa"/>
            <w:vAlign w:val="top"/>
          </w:tcPr>
          <w:p w14:paraId="6EBBE55A">
            <w:pPr>
              <w:spacing w:line="285" w:lineRule="auto"/>
              <w:rPr>
                <w:rFonts w:ascii="Arial"/>
                <w:sz w:val="21"/>
              </w:rPr>
            </w:pPr>
          </w:p>
          <w:p w14:paraId="7C1B4A72">
            <w:pPr>
              <w:spacing w:line="285" w:lineRule="auto"/>
              <w:rPr>
                <w:rFonts w:ascii="Arial"/>
                <w:sz w:val="21"/>
              </w:rPr>
            </w:pPr>
          </w:p>
          <w:p w14:paraId="5DF7BC95">
            <w:pPr>
              <w:spacing w:line="285" w:lineRule="auto"/>
              <w:rPr>
                <w:rFonts w:ascii="Arial"/>
                <w:sz w:val="21"/>
              </w:rPr>
            </w:pPr>
          </w:p>
          <w:p w14:paraId="690D5D5E">
            <w:pPr>
              <w:pStyle w:val="7"/>
              <w:spacing w:before="101" w:line="262" w:lineRule="auto"/>
              <w:ind w:left="126" w:right="109"/>
            </w:pPr>
            <w:r>
              <w:rPr>
                <w:spacing w:val="27"/>
              </w:rPr>
              <w:t>黄色预警：低于</w:t>
            </w:r>
            <w:r>
              <w:rPr>
                <w:spacing w:val="16"/>
              </w:rPr>
              <w:t>预期</w:t>
            </w:r>
            <w:r>
              <w:rPr>
                <w:spacing w:val="-37"/>
              </w:rPr>
              <w:t xml:space="preserve"> </w:t>
            </w:r>
            <w:r>
              <w:rPr>
                <w:rFonts w:ascii="Times New Roman" w:hAnsi="Times New Roman" w:eastAsia="Times New Roman" w:cs="Times New Roman"/>
                <w:spacing w:val="16"/>
              </w:rPr>
              <w:t>30%</w:t>
            </w:r>
            <w:r>
              <w:rPr>
                <w:spacing w:val="16"/>
              </w:rPr>
              <w:t>以内；</w:t>
            </w:r>
            <w:r>
              <w:rPr>
                <w:spacing w:val="27"/>
              </w:rPr>
              <w:t>红色预警：低于</w:t>
            </w:r>
            <w:r>
              <w:rPr>
                <w:spacing w:val="2"/>
              </w:rPr>
              <w:t>预期超过</w:t>
            </w:r>
            <w:r>
              <w:rPr>
                <w:spacing w:val="-55"/>
              </w:rPr>
              <w:t xml:space="preserve"> </w:t>
            </w:r>
            <w:r>
              <w:rPr>
                <w:rFonts w:ascii="Times New Roman" w:hAnsi="Times New Roman" w:eastAsia="Times New Roman" w:cs="Times New Roman"/>
                <w:spacing w:val="2"/>
              </w:rPr>
              <w:t>30%</w:t>
            </w:r>
            <w:r>
              <w:rPr>
                <w:spacing w:val="2"/>
              </w:rPr>
              <w:t>。</w:t>
            </w:r>
          </w:p>
        </w:tc>
      </w:tr>
      <w:tr w14:paraId="4DC31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8" w:hRule="atLeast"/>
        </w:trPr>
        <w:tc>
          <w:tcPr>
            <w:tcW w:w="1554" w:type="dxa"/>
            <w:vMerge w:val="continue"/>
            <w:tcBorders>
              <w:top w:val="nil"/>
            </w:tcBorders>
            <w:vAlign w:val="top"/>
          </w:tcPr>
          <w:p w14:paraId="05686702">
            <w:pPr>
              <w:rPr>
                <w:rFonts w:ascii="Arial"/>
                <w:sz w:val="21"/>
              </w:rPr>
            </w:pPr>
          </w:p>
        </w:tc>
        <w:tc>
          <w:tcPr>
            <w:tcW w:w="1895" w:type="dxa"/>
            <w:vAlign w:val="top"/>
          </w:tcPr>
          <w:p w14:paraId="60E6B0A9">
            <w:pPr>
              <w:spacing w:line="319" w:lineRule="auto"/>
              <w:rPr>
                <w:rFonts w:ascii="Arial"/>
                <w:sz w:val="21"/>
              </w:rPr>
            </w:pPr>
          </w:p>
          <w:p w14:paraId="77D9707C">
            <w:pPr>
              <w:spacing w:line="320" w:lineRule="auto"/>
              <w:rPr>
                <w:rFonts w:ascii="Arial"/>
                <w:sz w:val="21"/>
              </w:rPr>
            </w:pPr>
          </w:p>
          <w:p w14:paraId="53A7F102">
            <w:pPr>
              <w:pStyle w:val="7"/>
              <w:spacing w:before="101" w:line="262" w:lineRule="auto"/>
              <w:ind w:left="647" w:right="306" w:hanging="331"/>
            </w:pPr>
            <w:r>
              <w:rPr>
                <w:spacing w:val="6"/>
              </w:rPr>
              <w:t>设备维修</w:t>
            </w:r>
            <w:r>
              <w:rPr>
                <w:spacing w:val="-4"/>
              </w:rPr>
              <w:t>情况</w:t>
            </w:r>
          </w:p>
        </w:tc>
        <w:tc>
          <w:tcPr>
            <w:tcW w:w="3489" w:type="dxa"/>
            <w:vAlign w:val="top"/>
          </w:tcPr>
          <w:p w14:paraId="72E34924">
            <w:pPr>
              <w:pStyle w:val="7"/>
              <w:spacing w:before="82" w:line="252" w:lineRule="auto"/>
              <w:ind w:left="114" w:right="9" w:firstLine="14"/>
              <w:jc w:val="both"/>
            </w:pPr>
            <w:r>
              <w:rPr>
                <w:spacing w:val="18"/>
              </w:rPr>
              <w:t>可结合医院管理实际，</w:t>
            </w:r>
            <w:r>
              <w:rPr>
                <w:spacing w:val="16"/>
              </w:rPr>
              <w:t>归集医疗设备管理维修</w:t>
            </w:r>
            <w:r>
              <w:rPr>
                <w:spacing w:val="-5"/>
              </w:rPr>
              <w:t>情况，设置逾期未巡检、</w:t>
            </w:r>
            <w:r>
              <w:rPr>
                <w:spacing w:val="16"/>
              </w:rPr>
              <w:t>逾期未计量、维保合同</w:t>
            </w:r>
            <w:r>
              <w:rPr>
                <w:spacing w:val="7"/>
              </w:rPr>
              <w:t>到期等监测指标。</w:t>
            </w:r>
          </w:p>
        </w:tc>
        <w:tc>
          <w:tcPr>
            <w:tcW w:w="2606" w:type="dxa"/>
            <w:vAlign w:val="top"/>
          </w:tcPr>
          <w:p w14:paraId="456297D4">
            <w:pPr>
              <w:pStyle w:val="7"/>
              <w:spacing w:before="301" w:line="262" w:lineRule="auto"/>
              <w:ind w:left="112" w:right="17" w:firstLine="13"/>
              <w:jc w:val="both"/>
            </w:pPr>
            <w:r>
              <w:rPr>
                <w:spacing w:val="14"/>
              </w:rPr>
              <w:t>黄色预警：逾期</w:t>
            </w:r>
            <w:r>
              <w:rPr>
                <w:rFonts w:ascii="Times New Roman" w:hAnsi="Times New Roman" w:eastAsia="Times New Roman" w:cs="Times New Roman"/>
                <w:spacing w:val="14"/>
              </w:rPr>
              <w:t>/</w:t>
            </w:r>
            <w:r>
              <w:rPr>
                <w:spacing w:val="-5"/>
              </w:rPr>
              <w:t>超期</w:t>
            </w:r>
            <w:r>
              <w:rPr>
                <w:spacing w:val="-43"/>
              </w:rPr>
              <w:t xml:space="preserve"> </w:t>
            </w:r>
            <w:r>
              <w:rPr>
                <w:rFonts w:ascii="Times New Roman" w:hAnsi="Times New Roman" w:eastAsia="Times New Roman" w:cs="Times New Roman"/>
                <w:spacing w:val="-5"/>
              </w:rPr>
              <w:t xml:space="preserve">1 </w:t>
            </w:r>
            <w:r>
              <w:rPr>
                <w:spacing w:val="-5"/>
              </w:rPr>
              <w:t>个月以上；</w:t>
            </w:r>
            <w:r>
              <w:rPr>
                <w:spacing w:val="15"/>
              </w:rPr>
              <w:t>红色预警：逾期</w:t>
            </w:r>
            <w:r>
              <w:rPr>
                <w:rFonts w:ascii="Times New Roman" w:hAnsi="Times New Roman" w:eastAsia="Times New Roman" w:cs="Times New Roman"/>
                <w:spacing w:val="15"/>
              </w:rPr>
              <w:t>/</w:t>
            </w:r>
            <w:r>
              <w:rPr>
                <w:spacing w:val="7"/>
              </w:rPr>
              <w:t>超期</w:t>
            </w:r>
            <w:r>
              <w:rPr>
                <w:rFonts w:ascii="Times New Roman" w:hAnsi="Times New Roman" w:eastAsia="Times New Roman" w:cs="Times New Roman"/>
                <w:spacing w:val="7"/>
              </w:rPr>
              <w:t xml:space="preserve">2 </w:t>
            </w:r>
            <w:r>
              <w:rPr>
                <w:spacing w:val="7"/>
              </w:rPr>
              <w:t>个月以上。</w:t>
            </w:r>
          </w:p>
        </w:tc>
      </w:tr>
    </w:tbl>
    <w:p w14:paraId="28E01303">
      <w:pPr>
        <w:spacing w:before="176" w:line="226" w:lineRule="auto"/>
        <w:ind w:left="1009"/>
        <w:outlineLvl w:val="1"/>
        <w:rPr>
          <w:rFonts w:ascii="黑体" w:hAnsi="黑体" w:eastAsia="黑体" w:cs="黑体"/>
          <w:sz w:val="31"/>
          <w:szCs w:val="31"/>
        </w:rPr>
      </w:pPr>
      <w:r>
        <w:rPr>
          <w:rFonts w:ascii="黑体" w:hAnsi="黑体" w:eastAsia="黑体" w:cs="黑体"/>
          <w:spacing w:val="7"/>
          <w:sz w:val="31"/>
          <w:szCs w:val="31"/>
        </w:rPr>
        <w:t>二、预警处置流程</w:t>
      </w:r>
    </w:p>
    <w:p w14:paraId="1A8DC9F1">
      <w:pPr>
        <w:pStyle w:val="2"/>
        <w:spacing w:before="182" w:line="332" w:lineRule="auto"/>
        <w:ind w:left="377" w:right="354" w:firstLine="623"/>
        <w:jc w:val="both"/>
      </w:pPr>
      <w:r>
        <w:rPr>
          <w:spacing w:val="5"/>
        </w:rPr>
        <w:t>根据管理职责，需明确医院自律端牵头管理部门，建立常态化监管及预警处置闭环工作流程，药品、耗材、医用设</w:t>
      </w:r>
      <w:r>
        <w:rPr>
          <w:spacing w:val="4"/>
        </w:rPr>
        <w:t>备等业务</w:t>
      </w:r>
      <w:r>
        <w:rPr>
          <w:spacing w:val="8"/>
        </w:rPr>
        <w:t>归口管理部门协同配合，确保预警信息处置闭环。</w:t>
      </w:r>
    </w:p>
    <w:p w14:paraId="1450D1DC">
      <w:pPr>
        <w:spacing w:before="5" w:line="219" w:lineRule="auto"/>
        <w:ind w:left="996"/>
        <w:rPr>
          <w:rFonts w:ascii="KaiTi_GB2312" w:hAnsi="KaiTi_GB2312" w:eastAsia="KaiTi_GB2312" w:cs="KaiTi_GB2312"/>
          <w:sz w:val="31"/>
          <w:szCs w:val="31"/>
        </w:rPr>
      </w:pPr>
      <w:r>
        <w:rPr>
          <w:rFonts w:ascii="KaiTi_GB2312" w:hAnsi="KaiTi_GB2312" w:eastAsia="KaiTi_GB2312" w:cs="KaiTi_GB2312"/>
          <w:spacing w:val="9"/>
          <w:sz w:val="31"/>
          <w:szCs w:val="31"/>
        </w:rPr>
        <w:t>（一）初步核查阶段</w:t>
      </w:r>
    </w:p>
    <w:p w14:paraId="1DAFD02F">
      <w:pPr>
        <w:pStyle w:val="2"/>
        <w:spacing w:before="186" w:line="334" w:lineRule="auto"/>
        <w:ind w:left="386" w:right="352" w:firstLine="630"/>
        <w:jc w:val="both"/>
      </w:pPr>
      <w:r>
        <w:rPr>
          <w:spacing w:val="4"/>
        </w:rPr>
        <w:t>预警信息生成后，药品、耗材、医用设备等业务归口管理部</w:t>
      </w:r>
      <w:r>
        <w:rPr>
          <w:spacing w:val="3"/>
        </w:rPr>
        <w:t>门需在规定时间内完成反馈处置，常规问题控制在</w:t>
      </w:r>
      <w:r>
        <w:rPr>
          <w:spacing w:val="-58"/>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24"/>
        </w:rPr>
        <w:t xml:space="preserve"> </w:t>
      </w:r>
      <w:r>
        <w:rPr>
          <w:spacing w:val="3"/>
        </w:rPr>
        <w:t>天内，复杂</w:t>
      </w:r>
      <w:r>
        <w:rPr>
          <w:spacing w:val="14"/>
        </w:rPr>
        <w:t>问题控制在</w:t>
      </w:r>
      <w:r>
        <w:rPr>
          <w:spacing w:val="-50"/>
        </w:rPr>
        <w:t xml:space="preserve"> </w:t>
      </w:r>
      <w:r>
        <w:rPr>
          <w:rFonts w:ascii="Times New Roman" w:hAnsi="Times New Roman" w:eastAsia="Times New Roman" w:cs="Times New Roman"/>
          <w:spacing w:val="14"/>
        </w:rPr>
        <w:t>7</w:t>
      </w:r>
      <w:r>
        <w:rPr>
          <w:rFonts w:ascii="Times New Roman" w:hAnsi="Times New Roman" w:eastAsia="Times New Roman" w:cs="Times New Roman"/>
          <w:spacing w:val="32"/>
        </w:rPr>
        <w:t xml:space="preserve"> </w:t>
      </w:r>
      <w:r>
        <w:rPr>
          <w:spacing w:val="14"/>
        </w:rPr>
        <w:t>天内，红色预警处置反馈需经分管院领导审批同</w:t>
      </w:r>
      <w:r>
        <w:rPr>
          <w:spacing w:val="-12"/>
        </w:rPr>
        <w:t>意：</w:t>
      </w:r>
    </w:p>
    <w:p w14:paraId="3BEF48BA">
      <w:pPr>
        <w:pStyle w:val="2"/>
        <w:spacing w:before="3" w:line="332" w:lineRule="auto"/>
        <w:ind w:left="367" w:right="354" w:firstLine="661"/>
      </w:pPr>
      <w:r>
        <w:rPr>
          <w:rFonts w:ascii="Times New Roman" w:hAnsi="Times New Roman" w:eastAsia="Times New Roman" w:cs="Times New Roman"/>
          <w:spacing w:val="7"/>
        </w:rPr>
        <w:t>1.</w:t>
      </w:r>
      <w:r>
        <w:rPr>
          <w:spacing w:val="7"/>
        </w:rPr>
        <w:t>判定预警原因，如病种变化、品种更替、</w:t>
      </w:r>
      <w:r>
        <w:rPr>
          <w:spacing w:val="6"/>
        </w:rPr>
        <w:t>政策影响等，明</w:t>
      </w:r>
      <w:r>
        <w:rPr>
          <w:spacing w:val="7"/>
        </w:rPr>
        <w:t>确是否需进一步核查。</w:t>
      </w:r>
    </w:p>
    <w:p w14:paraId="68694A15">
      <w:pPr>
        <w:pStyle w:val="2"/>
        <w:spacing w:before="4" w:line="218" w:lineRule="auto"/>
        <w:ind w:left="998"/>
      </w:pPr>
      <w:r>
        <w:rPr>
          <w:rFonts w:ascii="Times New Roman" w:hAnsi="Times New Roman" w:eastAsia="Times New Roman" w:cs="Times New Roman"/>
          <w:spacing w:val="8"/>
        </w:rPr>
        <w:t>2.</w:t>
      </w:r>
      <w:r>
        <w:rPr>
          <w:spacing w:val="8"/>
        </w:rPr>
        <w:t>对需深入核查的，制定持续监测、专项点评或逐</w:t>
      </w:r>
      <w:r>
        <w:rPr>
          <w:spacing w:val="7"/>
        </w:rPr>
        <w:t>级审批机</w:t>
      </w:r>
    </w:p>
    <w:p w14:paraId="0EFD7FEE">
      <w:pPr>
        <w:spacing w:line="218" w:lineRule="auto"/>
        <w:sectPr>
          <w:footerReference r:id="rId8" w:type="default"/>
          <w:pgSz w:w="11906" w:h="16839"/>
          <w:pgMar w:top="1431" w:right="1121" w:bottom="1722" w:left="1235" w:header="0" w:footer="1331" w:gutter="0"/>
          <w:cols w:space="720" w:num="1"/>
        </w:sectPr>
      </w:pPr>
    </w:p>
    <w:p w14:paraId="08FC86AB">
      <w:pPr>
        <w:spacing w:line="245" w:lineRule="auto"/>
        <w:rPr>
          <w:rFonts w:ascii="Arial"/>
          <w:sz w:val="21"/>
        </w:rPr>
      </w:pPr>
    </w:p>
    <w:p w14:paraId="1BA7DA2B">
      <w:pPr>
        <w:spacing w:line="246" w:lineRule="auto"/>
        <w:rPr>
          <w:rFonts w:ascii="Arial"/>
          <w:sz w:val="21"/>
        </w:rPr>
      </w:pPr>
    </w:p>
    <w:p w14:paraId="2EE54A61">
      <w:pPr>
        <w:spacing w:line="246" w:lineRule="auto"/>
        <w:rPr>
          <w:rFonts w:ascii="Arial"/>
          <w:sz w:val="21"/>
        </w:rPr>
      </w:pPr>
    </w:p>
    <w:p w14:paraId="48389427">
      <w:pPr>
        <w:pStyle w:val="2"/>
        <w:spacing w:before="101" w:line="219" w:lineRule="auto"/>
        <w:ind w:left="13"/>
      </w:pPr>
      <w:r>
        <w:rPr>
          <w:spacing w:val="5"/>
        </w:rPr>
        <w:t>制等处置措施。</w:t>
      </w:r>
    </w:p>
    <w:p w14:paraId="008CB565">
      <w:pPr>
        <w:spacing w:before="191" w:line="219" w:lineRule="auto"/>
        <w:ind w:left="634"/>
        <w:rPr>
          <w:rFonts w:ascii="KaiTi_GB2312" w:hAnsi="KaiTi_GB2312" w:eastAsia="KaiTi_GB2312" w:cs="KaiTi_GB2312"/>
          <w:sz w:val="31"/>
          <w:szCs w:val="31"/>
        </w:rPr>
      </w:pPr>
      <w:r>
        <w:rPr>
          <w:rFonts w:ascii="KaiTi_GB2312" w:hAnsi="KaiTi_GB2312" w:eastAsia="KaiTi_GB2312" w:cs="KaiTi_GB2312"/>
          <w:spacing w:val="9"/>
          <w:sz w:val="31"/>
          <w:szCs w:val="31"/>
        </w:rPr>
        <w:t>（二）预警信息处置</w:t>
      </w:r>
    </w:p>
    <w:p w14:paraId="5946C0EE">
      <w:pPr>
        <w:pStyle w:val="2"/>
        <w:spacing w:before="189" w:line="333" w:lineRule="auto"/>
        <w:ind w:left="3" w:firstLine="663"/>
      </w:pPr>
      <w:r>
        <w:rPr>
          <w:rFonts w:ascii="Times New Roman" w:hAnsi="Times New Roman" w:eastAsia="Times New Roman" w:cs="Times New Roman"/>
          <w:spacing w:val="7"/>
        </w:rPr>
        <w:t>1.</w:t>
      </w:r>
      <w:r>
        <w:rPr>
          <w:spacing w:val="7"/>
        </w:rPr>
        <w:t>持续监测：对预警对象实施持续监测处置，重</w:t>
      </w:r>
      <w:r>
        <w:rPr>
          <w:spacing w:val="6"/>
        </w:rPr>
        <w:t>点跟踪次月</w:t>
      </w:r>
      <w:r>
        <w:rPr>
          <w:spacing w:val="5"/>
        </w:rPr>
        <w:t>用量，次月仍触发预警，开展专项点评并形成处理意见；次月用量明显下降且符合临床实际，可办结预警；持续监测原则上不超</w:t>
      </w:r>
      <w:r>
        <w:rPr>
          <w:spacing w:val="-1"/>
        </w:rPr>
        <w:t>过</w:t>
      </w:r>
      <w:r>
        <w:rPr>
          <w:spacing w:val="-68"/>
        </w:rPr>
        <w:t xml:space="preserve"> </w:t>
      </w:r>
      <w:r>
        <w:rPr>
          <w:rFonts w:ascii="Times New Roman" w:hAnsi="Times New Roman" w:eastAsia="Times New Roman" w:cs="Times New Roman"/>
          <w:spacing w:val="-1"/>
        </w:rPr>
        <w:t>2</w:t>
      </w:r>
      <w:r>
        <w:rPr>
          <w:rFonts w:ascii="Times New Roman" w:hAnsi="Times New Roman" w:eastAsia="Times New Roman" w:cs="Times New Roman"/>
          <w:spacing w:val="18"/>
        </w:rPr>
        <w:t xml:space="preserve"> </w:t>
      </w:r>
      <w:r>
        <w:rPr>
          <w:spacing w:val="-1"/>
        </w:rPr>
        <w:t>个月。</w:t>
      </w:r>
    </w:p>
    <w:p w14:paraId="6EB5D8C0">
      <w:pPr>
        <w:pStyle w:val="2"/>
        <w:spacing w:before="7" w:line="332" w:lineRule="auto"/>
        <w:ind w:left="13" w:right="2" w:firstLine="622"/>
      </w:pPr>
      <w:r>
        <w:rPr>
          <w:rFonts w:ascii="Times New Roman" w:hAnsi="Times New Roman" w:eastAsia="Times New Roman" w:cs="Times New Roman"/>
          <w:spacing w:val="8"/>
        </w:rPr>
        <w:t>2.</w:t>
      </w:r>
      <w:r>
        <w:rPr>
          <w:spacing w:val="8"/>
        </w:rPr>
        <w:t>专项点评：由药品、耗材点评小组组织专家开展</w:t>
      </w:r>
      <w:r>
        <w:rPr>
          <w:spacing w:val="7"/>
        </w:rPr>
        <w:t>合理使用</w:t>
      </w:r>
      <w:r>
        <w:rPr>
          <w:spacing w:val="8"/>
        </w:rPr>
        <w:t>专项点评，依据点评结果综合研判并提出处理意见。</w:t>
      </w:r>
    </w:p>
    <w:p w14:paraId="6161AA3D">
      <w:pPr>
        <w:pStyle w:val="2"/>
        <w:spacing w:before="4" w:line="333" w:lineRule="auto"/>
        <w:ind w:left="7" w:right="2" w:firstLine="635"/>
        <w:rPr>
          <w:spacing w:val="8"/>
        </w:rPr>
      </w:pPr>
      <w:r>
        <w:rPr>
          <w:rFonts w:ascii="Times New Roman" w:hAnsi="Times New Roman" w:eastAsia="Times New Roman" w:cs="Times New Roman"/>
          <w:spacing w:val="7"/>
        </w:rPr>
        <w:t>3.</w:t>
      </w:r>
      <w:r>
        <w:rPr>
          <w:spacing w:val="7"/>
        </w:rPr>
        <w:t>结果处置：按医院内部相关管理制度，进行结果处置，包</w:t>
      </w:r>
      <w:r>
        <w:rPr>
          <w:spacing w:val="5"/>
        </w:rPr>
        <w:t>括且不限于予以办结、批评教育、约谈提醒、限制处方权、限制</w:t>
      </w:r>
      <w:r>
        <w:rPr>
          <w:spacing w:val="8"/>
        </w:rPr>
        <w:t>手术权、持续整改、组织处理等处理。</w:t>
      </w:r>
    </w:p>
    <w:p w14:paraId="514AE3D1">
      <w:pPr>
        <w:spacing w:before="191" w:line="219" w:lineRule="auto"/>
        <w:ind w:left="634"/>
        <w:rPr>
          <w:rFonts w:hint="eastAsia" w:ascii="KaiTi_GB2312" w:hAnsi="KaiTi_GB2312" w:eastAsia="KaiTi_GB2312" w:cs="KaiTi_GB2312"/>
          <w:spacing w:val="9"/>
          <w:sz w:val="31"/>
          <w:szCs w:val="31"/>
          <w:lang w:eastAsia="zh-CN"/>
        </w:rPr>
      </w:pPr>
      <w:r>
        <w:rPr>
          <w:rFonts w:hint="eastAsia" w:ascii="KaiTi_GB2312" w:hAnsi="KaiTi_GB2312" w:eastAsia="KaiTi_GB2312" w:cs="KaiTi_GB2312"/>
          <w:spacing w:val="9"/>
          <w:sz w:val="31"/>
          <w:szCs w:val="31"/>
          <w:lang w:eastAsia="zh-CN"/>
        </w:rPr>
        <w:t>（三）智慧驾驶舱展示</w:t>
      </w:r>
    </w:p>
    <w:p w14:paraId="174696D0">
      <w:pPr>
        <w:pStyle w:val="2"/>
        <w:spacing w:before="4" w:line="333" w:lineRule="auto"/>
        <w:ind w:left="7" w:right="2" w:firstLine="635"/>
        <w:rPr>
          <w:spacing w:val="8"/>
        </w:rPr>
      </w:pPr>
      <w:r>
        <w:rPr>
          <w:rFonts w:hint="eastAsia"/>
          <w:spacing w:val="8"/>
        </w:rPr>
        <w:t>对系统内各模块数据进行汇总分析，以图表形式在大屏幕上呈现。包括系统整体运行情况</w:t>
      </w:r>
      <w:r>
        <w:rPr>
          <w:rFonts w:hint="eastAsia"/>
          <w:spacing w:val="8"/>
          <w:lang w:eastAsia="zh-CN"/>
        </w:rPr>
        <w:t>以及相关模块的关注数据</w:t>
      </w:r>
      <w:r>
        <w:rPr>
          <w:rFonts w:hint="eastAsia"/>
          <w:spacing w:val="8"/>
        </w:rPr>
        <w:t>进行动态分析，数据引擎等</w:t>
      </w:r>
      <w:r>
        <w:rPr>
          <w:rFonts w:hint="eastAsia"/>
          <w:spacing w:val="8"/>
          <w:lang w:eastAsia="zh-CN"/>
        </w:rPr>
        <w:t>。</w:t>
      </w:r>
    </w:p>
    <w:p w14:paraId="7E73B6FD">
      <w:pPr>
        <w:pStyle w:val="2"/>
        <w:spacing w:before="4" w:line="333" w:lineRule="auto"/>
        <w:ind w:left="7" w:right="2" w:firstLine="635"/>
        <w:rPr>
          <w:spacing w:val="8"/>
        </w:rPr>
      </w:pPr>
    </w:p>
    <w:p w14:paraId="0C437774">
      <w:pPr>
        <w:spacing w:before="3" w:line="227" w:lineRule="auto"/>
        <w:jc w:val="center"/>
        <w:outlineLvl w:val="1"/>
        <w:rPr>
          <w:rFonts w:hint="eastAsia" w:ascii="黑体" w:hAnsi="黑体" w:eastAsia="黑体" w:cs="黑体"/>
          <w:spacing w:val="7"/>
          <w:sz w:val="36"/>
          <w:szCs w:val="36"/>
          <w:lang w:eastAsia="zh-CN"/>
        </w:rPr>
      </w:pPr>
      <w:r>
        <w:rPr>
          <w:rFonts w:hint="eastAsia" w:ascii="黑体" w:hAnsi="黑体" w:eastAsia="黑体" w:cs="黑体"/>
          <w:spacing w:val="7"/>
          <w:sz w:val="36"/>
          <w:szCs w:val="36"/>
          <w:lang w:eastAsia="zh-CN"/>
        </w:rPr>
        <w:t>第二部分：自选模块</w:t>
      </w:r>
    </w:p>
    <w:p w14:paraId="6A4F1146">
      <w:pPr>
        <w:spacing w:before="3" w:line="227" w:lineRule="auto"/>
        <w:jc w:val="center"/>
        <w:outlineLvl w:val="1"/>
        <w:rPr>
          <w:rFonts w:hint="eastAsia" w:ascii="黑体" w:hAnsi="黑体" w:eastAsia="黑体" w:cs="黑体"/>
          <w:spacing w:val="7"/>
          <w:sz w:val="36"/>
          <w:szCs w:val="36"/>
          <w:lang w:eastAsia="zh-CN"/>
        </w:rPr>
      </w:pPr>
      <w:r>
        <w:rPr>
          <w:rFonts w:hint="eastAsia" w:ascii="黑体" w:hAnsi="黑体" w:eastAsia="黑体" w:cs="黑体"/>
          <w:spacing w:val="7"/>
          <w:sz w:val="36"/>
          <w:szCs w:val="36"/>
          <w:lang w:eastAsia="zh-CN"/>
        </w:rPr>
        <w:t>（服务商根据自身开发能力、开发经验可自行申报，</w:t>
      </w:r>
    </w:p>
    <w:p w14:paraId="73BD2A54">
      <w:pPr>
        <w:spacing w:before="3" w:line="227" w:lineRule="auto"/>
        <w:jc w:val="center"/>
        <w:outlineLvl w:val="1"/>
        <w:rPr>
          <w:rFonts w:hint="eastAsia" w:ascii="黑体" w:hAnsi="黑体" w:eastAsia="黑体" w:cs="黑体"/>
          <w:spacing w:val="7"/>
          <w:sz w:val="36"/>
          <w:szCs w:val="36"/>
          <w:lang w:eastAsia="zh-CN"/>
        </w:rPr>
      </w:pPr>
      <w:r>
        <w:rPr>
          <w:rFonts w:hint="eastAsia" w:ascii="黑体" w:hAnsi="黑体" w:eastAsia="黑体" w:cs="黑体"/>
          <w:spacing w:val="7"/>
          <w:sz w:val="36"/>
          <w:szCs w:val="36"/>
          <w:lang w:eastAsia="zh-CN"/>
        </w:rPr>
        <w:t>仅作市场调研了解</w:t>
      </w:r>
      <w:bookmarkStart w:id="0" w:name="_GoBack"/>
      <w:bookmarkEnd w:id="0"/>
      <w:r>
        <w:rPr>
          <w:rFonts w:hint="eastAsia" w:ascii="黑体" w:hAnsi="黑体" w:eastAsia="黑体" w:cs="黑体"/>
          <w:spacing w:val="7"/>
          <w:sz w:val="36"/>
          <w:szCs w:val="36"/>
          <w:lang w:eastAsia="zh-CN"/>
        </w:rPr>
        <w:t>不作为资格条件。）</w:t>
      </w:r>
    </w:p>
    <w:p w14:paraId="2BEA0362">
      <w:pPr>
        <w:pStyle w:val="2"/>
        <w:spacing w:before="7" w:line="332" w:lineRule="auto"/>
        <w:ind w:left="13" w:right="2" w:firstLine="622"/>
        <w:rPr>
          <w:spacing w:val="8"/>
        </w:rPr>
      </w:pPr>
    </w:p>
    <w:p w14:paraId="20E6BED8">
      <w:pPr>
        <w:pStyle w:val="2"/>
        <w:spacing w:before="7" w:line="332" w:lineRule="auto"/>
        <w:ind w:left="13" w:right="2" w:firstLine="622"/>
        <w:rPr>
          <w:rFonts w:hint="eastAsia" w:eastAsia="FangSong_GB2312"/>
          <w:b/>
          <w:bCs/>
          <w:spacing w:val="8"/>
          <w:lang w:eastAsia="zh-CN"/>
        </w:rPr>
      </w:pPr>
      <w:r>
        <w:rPr>
          <w:b/>
          <w:bCs/>
          <w:spacing w:val="8"/>
        </w:rPr>
        <w:t>一、模型设置</w:t>
      </w:r>
      <w:r>
        <w:rPr>
          <w:rFonts w:hint="eastAsia"/>
          <w:b/>
          <w:bCs/>
          <w:spacing w:val="8"/>
          <w:lang w:eastAsia="zh-CN"/>
        </w:rPr>
        <w:t>（仅供参考）</w:t>
      </w:r>
    </w:p>
    <w:p w14:paraId="2486D00B">
      <w:pPr>
        <w:pStyle w:val="2"/>
        <w:spacing w:before="7" w:line="332" w:lineRule="auto"/>
        <w:ind w:left="13" w:right="2" w:firstLine="622"/>
        <w:rPr>
          <w:rFonts w:hint="eastAsia"/>
          <w:spacing w:val="8"/>
        </w:rPr>
      </w:pPr>
      <w:r>
        <w:rPr>
          <w:rFonts w:hint="eastAsia"/>
          <w:b/>
          <w:bCs/>
          <w:spacing w:val="8"/>
          <w:lang w:val="en-US" w:eastAsia="zh-CN"/>
        </w:rPr>
        <w:t>1.</w:t>
      </w:r>
      <w:r>
        <w:rPr>
          <w:rFonts w:hint="eastAsia"/>
          <w:b/>
          <w:bCs/>
          <w:spacing w:val="8"/>
        </w:rPr>
        <w:t>合同监管模块</w:t>
      </w:r>
      <w:r>
        <w:rPr>
          <w:rFonts w:hint="eastAsia"/>
          <w:b/>
          <w:bCs/>
          <w:spacing w:val="8"/>
          <w:lang w:eastAsia="zh-CN"/>
        </w:rPr>
        <w:t>：</w:t>
      </w:r>
      <w:r>
        <w:rPr>
          <w:rFonts w:hint="eastAsia"/>
          <w:spacing w:val="8"/>
          <w:lang w:eastAsia="zh-CN"/>
        </w:rPr>
        <w:t>具备</w:t>
      </w:r>
      <w:r>
        <w:rPr>
          <w:rFonts w:hint="eastAsia"/>
          <w:spacing w:val="8"/>
          <w:lang w:val="en-US" w:eastAsia="zh-CN"/>
        </w:rPr>
        <w:t>续约管理、归档管理、签订管理、审查管理等主要功能，</w:t>
      </w:r>
      <w:r>
        <w:rPr>
          <w:rFonts w:hint="eastAsia"/>
          <w:spacing w:val="8"/>
        </w:rPr>
        <w:t>对即将</w:t>
      </w:r>
      <w:r>
        <w:rPr>
          <w:rFonts w:hint="eastAsia"/>
          <w:spacing w:val="8"/>
          <w:lang w:eastAsia="zh-CN"/>
        </w:rPr>
        <w:t>履约</w:t>
      </w:r>
      <w:r>
        <w:rPr>
          <w:rFonts w:hint="eastAsia"/>
          <w:spacing w:val="8"/>
        </w:rPr>
        <w:t>到期</w:t>
      </w:r>
      <w:r>
        <w:rPr>
          <w:rFonts w:hint="eastAsia"/>
          <w:spacing w:val="8"/>
          <w:lang w:eastAsia="zh-CN"/>
        </w:rPr>
        <w:t>、即将超签订期</w:t>
      </w:r>
      <w:r>
        <w:rPr>
          <w:rFonts w:hint="eastAsia"/>
          <w:spacing w:val="8"/>
        </w:rPr>
        <w:t>的合同自动触发预警，并实时提醒相关责任科室按期办理续签、终止或履约</w:t>
      </w:r>
      <w:r>
        <w:rPr>
          <w:rFonts w:hint="eastAsia"/>
          <w:spacing w:val="8"/>
          <w:lang w:eastAsia="zh-CN"/>
        </w:rPr>
        <w:t>等</w:t>
      </w:r>
      <w:r>
        <w:rPr>
          <w:rFonts w:hint="eastAsia"/>
          <w:spacing w:val="8"/>
        </w:rPr>
        <w:t>工作，实现合同全生命周期闭环管理。</w:t>
      </w:r>
    </w:p>
    <w:p w14:paraId="55A4DE3D">
      <w:pPr>
        <w:pStyle w:val="2"/>
        <w:spacing w:before="7" w:line="332" w:lineRule="auto"/>
        <w:ind w:left="13" w:right="2" w:firstLine="622"/>
        <w:rPr>
          <w:rFonts w:hint="eastAsia"/>
          <w:spacing w:val="8"/>
          <w:lang w:eastAsia="zh-CN"/>
        </w:rPr>
      </w:pPr>
      <w:r>
        <w:rPr>
          <w:rFonts w:hint="eastAsia"/>
          <w:b/>
          <w:bCs/>
          <w:spacing w:val="8"/>
          <w:lang w:val="en-US" w:eastAsia="zh-CN"/>
        </w:rPr>
        <w:t>2.医师德考评管理模块：</w:t>
      </w:r>
      <w:r>
        <w:rPr>
          <w:rFonts w:hint="eastAsia"/>
          <w:spacing w:val="8"/>
        </w:rPr>
        <w:t>医</w:t>
      </w:r>
      <w:r>
        <w:rPr>
          <w:rFonts w:hint="eastAsia"/>
          <w:spacing w:val="8"/>
          <w:lang w:eastAsia="zh-CN"/>
        </w:rPr>
        <w:t>师</w:t>
      </w:r>
      <w:r>
        <w:rPr>
          <w:rFonts w:hint="eastAsia"/>
          <w:spacing w:val="8"/>
        </w:rPr>
        <w:t>德信息录入</w:t>
      </w:r>
      <w:r>
        <w:rPr>
          <w:rFonts w:hint="eastAsia"/>
          <w:spacing w:val="8"/>
          <w:lang w:eastAsia="zh-CN"/>
        </w:rPr>
        <w:t>、医师德考核查询、红包锦旗数据抓取后自动赋分，年度考核结果的各部门评分的自动汇总并依据评价标准进行结果评价等。</w:t>
      </w:r>
    </w:p>
    <w:p w14:paraId="4690BD5D">
      <w:pPr>
        <w:pStyle w:val="2"/>
        <w:spacing w:before="7" w:line="332" w:lineRule="auto"/>
        <w:ind w:left="13" w:right="2" w:firstLine="622"/>
        <w:rPr>
          <w:rFonts w:hint="eastAsia"/>
          <w:lang w:eastAsia="zh-CN"/>
        </w:rPr>
      </w:pPr>
      <w:r>
        <w:rPr>
          <w:rFonts w:hint="eastAsia"/>
          <w:b/>
          <w:bCs/>
          <w:spacing w:val="8"/>
          <w:lang w:val="en-US" w:eastAsia="zh-CN"/>
        </w:rPr>
        <w:t>3.内部审计管理模块：</w:t>
      </w:r>
      <w:r>
        <w:rPr>
          <w:b w:val="0"/>
        </w:rPr>
        <w:t>支持</w:t>
      </w:r>
      <w:r>
        <w:rPr>
          <w:rFonts w:hint="eastAsia"/>
          <w:b w:val="0"/>
        </w:rPr>
        <w:t>对专项审计的项目信息的维护，</w:t>
      </w:r>
      <w:r>
        <w:rPr>
          <w:rFonts w:hint="eastAsia"/>
        </w:rPr>
        <w:t>支持对工作底稿</w:t>
      </w:r>
      <w:r>
        <w:rPr>
          <w:rFonts w:hint="eastAsia"/>
          <w:lang w:eastAsia="zh-CN"/>
        </w:rPr>
        <w:t>、</w:t>
      </w:r>
      <w:r>
        <w:rPr>
          <w:rFonts w:hint="eastAsia"/>
        </w:rPr>
        <w:t>联系单</w:t>
      </w:r>
      <w:r>
        <w:rPr>
          <w:rFonts w:hint="eastAsia"/>
          <w:lang w:eastAsia="zh-CN"/>
        </w:rPr>
        <w:t>、</w:t>
      </w:r>
      <w:r>
        <w:rPr>
          <w:rFonts w:hint="eastAsia"/>
        </w:rPr>
        <w:t>审计报告</w:t>
      </w:r>
      <w:r>
        <w:rPr>
          <w:rFonts w:hint="eastAsia"/>
          <w:lang w:eastAsia="zh-CN"/>
        </w:rPr>
        <w:t>、</w:t>
      </w:r>
      <w:r>
        <w:rPr>
          <w:rFonts w:hint="eastAsia"/>
        </w:rPr>
        <w:t>审计问题</w:t>
      </w:r>
      <w:r>
        <w:rPr>
          <w:rFonts w:hint="eastAsia"/>
          <w:lang w:eastAsia="zh-CN"/>
        </w:rPr>
        <w:t>整改、销号</w:t>
      </w:r>
      <w:r>
        <w:rPr>
          <w:rFonts w:hint="eastAsia"/>
        </w:rPr>
        <w:t>的维护和管理</w:t>
      </w:r>
      <w:r>
        <w:rPr>
          <w:rFonts w:hint="eastAsia"/>
          <w:lang w:eastAsia="zh-CN"/>
        </w:rPr>
        <w:t>，限时自动提醒审计问题整改。</w:t>
      </w:r>
    </w:p>
    <w:p w14:paraId="6BBD113E">
      <w:pPr>
        <w:pStyle w:val="2"/>
        <w:spacing w:before="7" w:line="332" w:lineRule="auto"/>
        <w:ind w:left="13" w:right="2" w:firstLine="622"/>
        <w:rPr>
          <w:rFonts w:hint="eastAsia"/>
          <w:lang w:eastAsia="zh-CN"/>
        </w:rPr>
      </w:pPr>
      <w:r>
        <w:rPr>
          <w:rFonts w:hint="eastAsia"/>
          <w:b/>
          <w:bCs/>
          <w:spacing w:val="8"/>
          <w:lang w:val="en-US" w:eastAsia="zh-CN"/>
        </w:rPr>
        <w:t>4.结算审核管理模块：</w:t>
      </w:r>
      <w:r>
        <w:rPr>
          <w:rFonts w:hint="eastAsia"/>
        </w:rPr>
        <w:t>支持包括但不限于项目名称、项目类型、项目描述、初稿、招标控制价、投标价、合同价、送审造价、设计单位、勘察单位、施工单位、施工负责人、施工负责人电话、监理单位、开工日期、竣工日期、合同工期、实际工期、工期差额、招标文件、中标通知书、合同、联系单、验收证明等各类与结算审计提交资料清单相关内容的提交</w:t>
      </w:r>
      <w:r>
        <w:rPr>
          <w:rFonts w:hint="eastAsia"/>
          <w:lang w:eastAsia="zh-CN"/>
        </w:rPr>
        <w:t>、</w:t>
      </w:r>
      <w:r>
        <w:rPr>
          <w:rFonts w:hint="eastAsia"/>
        </w:rPr>
        <w:t>输入</w:t>
      </w:r>
      <w:r>
        <w:rPr>
          <w:rFonts w:hint="eastAsia"/>
          <w:lang w:eastAsia="zh-CN"/>
        </w:rPr>
        <w:t>、维护、管理等。</w:t>
      </w:r>
    </w:p>
    <w:p w14:paraId="7A979650">
      <w:pPr>
        <w:pStyle w:val="2"/>
        <w:spacing w:before="7" w:line="332" w:lineRule="auto"/>
        <w:ind w:left="13" w:right="2" w:firstLine="622"/>
        <w:rPr>
          <w:rFonts w:hint="default"/>
          <w:b/>
          <w:bCs/>
          <w:lang w:val="en-US" w:eastAsia="zh-CN"/>
        </w:rPr>
      </w:pPr>
      <w:r>
        <w:rPr>
          <w:rFonts w:hint="eastAsia"/>
          <w:b/>
          <w:bCs/>
          <w:lang w:val="en-US" w:eastAsia="zh-CN"/>
        </w:rPr>
        <w:t>5.其他模块等</w:t>
      </w:r>
    </w:p>
    <w:sectPr>
      <w:footerReference r:id="rId9" w:type="default"/>
      <w:pgSz w:w="11906" w:h="16839"/>
      <w:pgMar w:top="1431" w:right="1391" w:bottom="1722" w:left="1605" w:header="0" w:footer="132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aiTi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FangSong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C2794">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DAF61">
    <w:pPr>
      <w:pStyle w:val="2"/>
      <w:spacing w:line="380" w:lineRule="exact"/>
      <w:ind w:left="8240"/>
      <w:rPr>
        <w:sz w:val="28"/>
        <w:szCs w:val="28"/>
      </w:rPr>
    </w:pPr>
    <w:r>
      <w:rPr>
        <w:spacing w:val="-16"/>
        <w:position w:val="2"/>
        <w:sz w:val="28"/>
        <w:szCs w:val="28"/>
      </w:rPr>
      <w:t>—</w:t>
    </w:r>
    <w:r>
      <w:rPr>
        <w:spacing w:val="7"/>
        <w:position w:val="2"/>
        <w:sz w:val="28"/>
        <w:szCs w:val="28"/>
      </w:rPr>
      <w:t xml:space="preserve"> </w:t>
    </w:r>
    <w:r>
      <w:rPr>
        <w:rFonts w:ascii="Arial" w:hAnsi="Arial" w:eastAsia="Arial" w:cs="Arial"/>
        <w:spacing w:val="-16"/>
        <w:position w:val="2"/>
        <w:sz w:val="28"/>
        <w:szCs w:val="28"/>
      </w:rPr>
      <w:t>3</w:t>
    </w:r>
    <w:r>
      <w:rPr>
        <w:rFonts w:ascii="Arial" w:hAnsi="Arial" w:eastAsia="Arial" w:cs="Arial"/>
        <w:spacing w:val="4"/>
        <w:position w:val="2"/>
        <w:sz w:val="28"/>
        <w:szCs w:val="28"/>
      </w:rPr>
      <w:t xml:space="preserve">  </w:t>
    </w:r>
    <w:r>
      <w:rPr>
        <w:spacing w:val="-16"/>
        <w:position w:val="2"/>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6F9D">
    <w:pPr>
      <w:pStyle w:val="2"/>
      <w:spacing w:line="383" w:lineRule="exact"/>
      <w:ind w:left="377"/>
      <w:rPr>
        <w:sz w:val="28"/>
        <w:szCs w:val="28"/>
      </w:rPr>
    </w:pPr>
    <w:r>
      <w:rPr>
        <w:spacing w:val="-15"/>
        <w:position w:val="1"/>
        <w:sz w:val="28"/>
        <w:szCs w:val="28"/>
      </w:rPr>
      <w:t>—</w:t>
    </w:r>
    <w:r>
      <w:rPr>
        <w:spacing w:val="5"/>
        <w:position w:val="1"/>
        <w:sz w:val="28"/>
        <w:szCs w:val="28"/>
      </w:rPr>
      <w:t xml:space="preserve"> </w:t>
    </w:r>
    <w:r>
      <w:rPr>
        <w:rFonts w:ascii="Arial" w:hAnsi="Arial" w:eastAsia="Arial" w:cs="Arial"/>
        <w:spacing w:val="-15"/>
        <w:position w:val="1"/>
        <w:sz w:val="28"/>
        <w:szCs w:val="28"/>
      </w:rPr>
      <w:t>4</w:t>
    </w:r>
    <w:r>
      <w:rPr>
        <w:rFonts w:ascii="Arial" w:hAnsi="Arial" w:eastAsia="Arial" w:cs="Arial"/>
        <w:spacing w:val="3"/>
        <w:position w:val="1"/>
        <w:sz w:val="28"/>
        <w:szCs w:val="28"/>
      </w:rPr>
      <w:t xml:space="preserve">  </w:t>
    </w:r>
    <w:r>
      <w:rPr>
        <w:spacing w:val="-15"/>
        <w:position w:val="1"/>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FE1E6">
    <w:pPr>
      <w:pStyle w:val="2"/>
      <w:spacing w:line="380" w:lineRule="exact"/>
      <w:ind w:left="824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7372D">
    <w:pPr>
      <w:pStyle w:val="2"/>
      <w:spacing w:line="383" w:lineRule="exact"/>
      <w:ind w:left="7870"/>
      <w:rPr>
        <w:sz w:val="28"/>
        <w:szCs w:val="28"/>
      </w:rPr>
    </w:pPr>
    <w:r>
      <w:rPr>
        <w:spacing w:val="-17"/>
        <w:position w:val="2"/>
        <w:sz w:val="28"/>
        <w:szCs w:val="28"/>
      </w:rPr>
      <w:t>—</w:t>
    </w:r>
    <w:r>
      <w:rPr>
        <w:spacing w:val="10"/>
        <w:position w:val="2"/>
        <w:sz w:val="28"/>
        <w:szCs w:val="28"/>
      </w:rPr>
      <w:t xml:space="preserve"> </w:t>
    </w:r>
    <w:r>
      <w:rPr>
        <w:rFonts w:ascii="Arial" w:hAnsi="Arial" w:eastAsia="Arial" w:cs="Arial"/>
        <w:spacing w:val="-17"/>
        <w:position w:val="2"/>
        <w:sz w:val="28"/>
        <w:szCs w:val="28"/>
      </w:rPr>
      <w:t>7</w:t>
    </w:r>
    <w:r>
      <w:rPr>
        <w:rFonts w:ascii="Arial" w:hAnsi="Arial" w:eastAsia="Arial" w:cs="Arial"/>
        <w:spacing w:val="4"/>
        <w:position w:val="2"/>
        <w:sz w:val="28"/>
        <w:szCs w:val="28"/>
      </w:rPr>
      <w:t xml:space="preserve">  </w:t>
    </w:r>
    <w:r>
      <w:rPr>
        <w:spacing w:val="-17"/>
        <w:position w:val="2"/>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111B48"/>
    <w:rsid w:val="055F1C20"/>
    <w:rsid w:val="072916E2"/>
    <w:rsid w:val="07FE491D"/>
    <w:rsid w:val="22C5630B"/>
    <w:rsid w:val="23166B67"/>
    <w:rsid w:val="30BD0622"/>
    <w:rsid w:val="350A44D8"/>
    <w:rsid w:val="378B147A"/>
    <w:rsid w:val="3AC342F5"/>
    <w:rsid w:val="3ACA3C80"/>
    <w:rsid w:val="505C17AE"/>
    <w:rsid w:val="576A1485"/>
    <w:rsid w:val="5BB406F0"/>
    <w:rsid w:val="67090219"/>
    <w:rsid w:val="68774F7F"/>
    <w:rsid w:val="6C777BC4"/>
    <w:rsid w:val="72D57B9F"/>
    <w:rsid w:val="7C2C1D4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FangSong_GB2312" w:hAnsi="FangSong_GB2312" w:eastAsia="FangSong_GB2312" w:cs="FangSong_GB2312"/>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6ebe7f77-c1e3-4375-b6a2-a03b4c81b79f</errorID>
      <errorWord>超</errorWord>
      <group>L1_Word</group>
      <groupName>字词问题</groupName>
      <ability>L2_Typo</ability>
      <abilityName>字词错误</abilityName>
      <candidateList>
        <item>超过</item>
      </candidateList>
      <explain/>
      <paraID>39856660</paraID>
      <start>30</start>
      <end>31</end>
      <status>unmodified</status>
      <modifiedWord/>
      <trackRevisions>false</trackRevisions>
    </reviewItem>
    <reviewItem>
      <errorID>37794f8a-aed8-49af-aff5-85661c12bf97</errorID>
      <errorWord>实施</errorWord>
      <group>L1_Word</group>
      <groupName>字词问题</groupName>
      <ability>L2_Typo</ability>
      <abilityName>字词错误</abilityName>
      <candidateList>
        <item>实时</item>
      </candidateList>
      <explain/>
      <paraID> 4C34368</paraID>
      <start>36</start>
      <end>38</end>
      <status>unmodified</status>
      <modifiedWord/>
      <trackRevisions>false</trackRevisions>
    </reviewItem>
    <reviewItem>
      <errorID>5df08a16-b689-4075-b090-79fcc9871448</errorID>
      <errorWord>药</errorWord>
      <group>L1_Word</group>
      <groupName>字词问题</groupName>
      <ability>L2_Typo</ability>
      <abilityName>字词错误</abilityName>
      <candidateList>
        <item>药物</item>
      </candidateList>
      <explain/>
      <paraID>729A3DB1</paraID>
      <start>9</start>
      <end>10</end>
      <status>unmodified</status>
      <modifiedWord/>
      <trackRevisions>false</trackRevisions>
    </reviewItem>
    <reviewItem>
      <errorID>078e0c79-9341-4627-8dd2-f259dc550b08</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21F66BD1</paraID>
      <start>18</start>
      <end>25</end>
      <status>unmodified</status>
      <modifiedWord/>
      <trackRevisions>false</trackRevisions>
    </reviewItem>
    <reviewItem>
      <errorID>e656bb7d-e85a-4c87-8e8a-20c4f4ef4202</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5DF1AFBE</paraID>
      <start>12</start>
      <end>19</end>
      <status>unmodified</status>
      <modifiedWord/>
      <trackRevisions>false</trackRevisions>
    </reviewItem>
    <reviewItem>
      <errorID>66041e5e-81f1-42a7-b853-fd7223ded7b8</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6E9ADC57</paraID>
      <start>12</start>
      <end>19</end>
      <status>unmodified</status>
      <modifiedWord/>
      <trackRevisions>false</trackRevisions>
    </reviewItem>
    <reviewItem>
      <errorID>10e67cab-7d09-4379-8570-f28f6506054c</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58508ED8</paraID>
      <start>11</start>
      <end>18</end>
      <status>unmodified</status>
      <modifiedWord/>
      <trackRevisions>false</trackRevisions>
    </reviewItem>
    <reviewItem>
      <errorID>d893ab30-442b-431c-8da0-583cb52258ed</errorID>
      <errorWord>30%-50%</errorWord>
      <group>L1_Knowledge</group>
      <groupName>知识性问题</groupName>
      <ability>L2_Knowledge</ability>
      <abilityName>其他知识</abilityName>
      <candidateList>
        <item>30%—50%</item>
      </candidateList>
      <explain>1. “30%-50%”中的单位“%”仅出现在后一个数字上，容易引起歧义；根据《现代汉语标点符号数字用法规范手册》，数字表示范围两边需要使用统一的格式。2. 根据标点国标 4.13 中的规则，数字、时间或地域连接符应使用（视觉上更长的）“—”或“～”。</explain>
      <paraID>56833895</paraID>
      <start>12</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a40799-be01-4a1d-96d7-3d93a6e6c0a8}">
  <ds:schemaRefs/>
</ds:datastoreItem>
</file>

<file path=docProps/app.xml><?xml version="1.0" encoding="utf-8"?>
<Properties xmlns="http://schemas.openxmlformats.org/officeDocument/2006/extended-properties" xmlns:vt="http://schemas.openxmlformats.org/officeDocument/2006/docPropsVTypes">
  <Pages>6</Pages>
  <Words>1751</Words>
  <Characters>1810</Characters>
  <TotalTime>2</TotalTime>
  <ScaleCrop>false</ScaleCrop>
  <LinksUpToDate>false</LinksUpToDate>
  <CharactersWithSpaces>1893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2026-06-29T16:11:00Z</dcterms:created>
  <dc:creator>Administrator</dc:creator>
  <cp:lastModifiedBy>米啊</cp:lastModifiedBy>
  <dcterms:modified xsi:type="dcterms:W3CDTF">2026-08-14T00:54:09Z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2026-08-07T14:14:38Z</vt:filetime>
  </property>
  <property fmtid="{D5CDD505-2E9C-101B-9397-08002B2CF9AE}" pid="4" name="KSOTemplateDocerSaveRecord">
    <vt:lpwstr>eyJoZGlkIjoiNjIxNTkwNTVlNzdkOTJiY2NlYTczMzM4ZDVkMjYxZjUiLCJ1c2VySWQiOiI0MjQwODU4MjgifQ==</vt:lpwstr>
  </property>
  <property fmtid="{D5CDD505-2E9C-101B-9397-08002B2CF9AE}" pid="5" name="KSOProductBuildVer">
    <vt:lpwstr>2052-12.1.0.28043</vt:lpwstr>
  </property>
  <property fmtid="{D5CDD505-2E9C-101B-9397-08002B2CF9AE}" pid="6" name="ICV">
    <vt:lpwstr>A68D950FA1F341ABAFF16DDFB04208E9_12</vt:lpwstr>
  </property>
</Properties>
</file>