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DE370">
      <w:pPr>
        <w:pStyle w:val="14"/>
        <w:widowControl w:val="0"/>
        <w:snapToGrid w:val="0"/>
        <w:spacing w:line="470" w:lineRule="atLeast"/>
        <w:ind w:firstLine="0"/>
        <w:jc w:val="center"/>
        <w:rPr>
          <w:rFonts w:hint="eastAsia" w:ascii="仿宋" w:hAnsi="仿宋" w:eastAsia="仿宋" w:cs="仿宋"/>
          <w:b w:val="0"/>
          <w:caps w:val="0"/>
          <w:color w:val="auto"/>
          <w:sz w:val="32"/>
          <w:highlight w:val="none"/>
          <w:u w:val="none" w:color="auto"/>
        </w:rPr>
      </w:pPr>
    </w:p>
    <w:p w14:paraId="0551B8B7">
      <w:pPr>
        <w:pStyle w:val="14"/>
        <w:widowControl w:val="0"/>
        <w:snapToGrid w:val="0"/>
        <w:spacing w:line="470" w:lineRule="atLeast"/>
        <w:ind w:firstLine="0"/>
        <w:jc w:val="center"/>
        <w:rPr>
          <w:rFonts w:hint="eastAsia" w:ascii="仿宋" w:hAnsi="仿宋" w:eastAsia="仿宋" w:cs="仿宋"/>
          <w:b w:val="0"/>
          <w:caps w:val="0"/>
          <w:color w:val="auto"/>
          <w:szCs w:val="44"/>
          <w:highlight w:val="none"/>
          <w:u w:val="none" w:color="auto"/>
        </w:rPr>
      </w:pPr>
      <w:r>
        <w:rPr>
          <w:rFonts w:hint="eastAsia" w:ascii="仿宋" w:hAnsi="仿宋" w:eastAsia="仿宋" w:cs="仿宋"/>
          <w:b w:val="0"/>
          <w:caps w:val="0"/>
          <w:color w:val="auto"/>
          <w:szCs w:val="44"/>
          <w:highlight w:val="none"/>
          <w:u w:val="none" w:color="auto"/>
        </w:rPr>
        <w:t>浙江中医药大学附属第二医院</w:t>
      </w:r>
    </w:p>
    <w:p w14:paraId="21E9C4DF">
      <w:pPr>
        <w:pStyle w:val="14"/>
        <w:widowControl w:val="0"/>
        <w:snapToGrid w:val="0"/>
        <w:spacing w:line="470" w:lineRule="atLeast"/>
        <w:ind w:firstLine="0"/>
        <w:jc w:val="center"/>
        <w:rPr>
          <w:rFonts w:hint="eastAsia" w:ascii="仿宋" w:hAnsi="仿宋" w:eastAsia="仿宋" w:cs="仿宋"/>
          <w:b w:val="0"/>
          <w:caps w:val="0"/>
          <w:color w:val="auto"/>
          <w:szCs w:val="44"/>
          <w:highlight w:val="none"/>
          <w:u w:val="none" w:color="auto"/>
          <w:lang w:val="en-US" w:eastAsia="zh-CN"/>
        </w:rPr>
      </w:pPr>
      <w:r>
        <w:rPr>
          <w:rFonts w:hint="eastAsia" w:ascii="仿宋" w:hAnsi="仿宋" w:eastAsia="仿宋" w:cs="仿宋"/>
          <w:b w:val="0"/>
          <w:caps w:val="0"/>
          <w:color w:val="auto"/>
          <w:szCs w:val="44"/>
          <w:highlight w:val="none"/>
          <w:u w:val="none" w:color="auto"/>
        </w:rPr>
        <w:t>202</w:t>
      </w:r>
      <w:r>
        <w:rPr>
          <w:rFonts w:hint="eastAsia" w:ascii="仿宋" w:hAnsi="仿宋" w:eastAsia="仿宋" w:cs="仿宋"/>
          <w:b w:val="0"/>
          <w:caps w:val="0"/>
          <w:color w:val="auto"/>
          <w:szCs w:val="44"/>
          <w:highlight w:val="none"/>
          <w:u w:val="none" w:color="auto"/>
          <w:lang w:val="en-US" w:eastAsia="zh-CN"/>
        </w:rPr>
        <w:t>5年厨房超声波鼓泡洗菜池采购项目</w:t>
      </w:r>
    </w:p>
    <w:p w14:paraId="1FFF8B75">
      <w:pPr>
        <w:pStyle w:val="14"/>
        <w:widowControl w:val="0"/>
        <w:snapToGrid w:val="0"/>
        <w:spacing w:line="470" w:lineRule="atLeast"/>
        <w:ind w:firstLine="0"/>
        <w:jc w:val="center"/>
        <w:rPr>
          <w:rFonts w:hint="eastAsia" w:ascii="仿宋" w:hAnsi="仿宋" w:eastAsia="仿宋" w:cs="仿宋"/>
          <w:b w:val="0"/>
          <w:caps w:val="0"/>
          <w:color w:val="auto"/>
          <w:sz w:val="36"/>
          <w:szCs w:val="36"/>
          <w:highlight w:val="none"/>
          <w:u w:val="none" w:color="auto"/>
        </w:rPr>
      </w:pPr>
    </w:p>
    <w:p w14:paraId="3398202D">
      <w:pPr>
        <w:pStyle w:val="14"/>
        <w:widowControl w:val="0"/>
        <w:snapToGrid w:val="0"/>
        <w:spacing w:line="470" w:lineRule="atLeast"/>
        <w:ind w:firstLine="0"/>
        <w:jc w:val="center"/>
        <w:rPr>
          <w:rFonts w:hint="eastAsia" w:ascii="仿宋" w:hAnsi="仿宋" w:eastAsia="仿宋" w:cs="仿宋"/>
          <w:b w:val="0"/>
          <w:caps w:val="0"/>
          <w:color w:val="auto"/>
          <w:sz w:val="36"/>
          <w:highlight w:val="none"/>
          <w:u w:val="none" w:color="auto"/>
        </w:rPr>
      </w:pPr>
    </w:p>
    <w:p w14:paraId="4EADCAD9">
      <w:pPr>
        <w:pStyle w:val="14"/>
        <w:widowControl w:val="0"/>
        <w:snapToGrid w:val="0"/>
        <w:spacing w:line="470" w:lineRule="atLeast"/>
        <w:ind w:firstLine="0"/>
        <w:jc w:val="center"/>
        <w:rPr>
          <w:rFonts w:hint="eastAsia" w:ascii="仿宋" w:hAnsi="仿宋" w:eastAsia="仿宋" w:cs="仿宋"/>
          <w:b w:val="0"/>
          <w:caps w:val="0"/>
          <w:color w:val="auto"/>
          <w:sz w:val="36"/>
          <w:highlight w:val="none"/>
          <w:u w:val="none" w:color="auto"/>
        </w:rPr>
      </w:pPr>
    </w:p>
    <w:p w14:paraId="335D4A6E">
      <w:pPr>
        <w:pStyle w:val="14"/>
        <w:widowControl w:val="0"/>
        <w:snapToGrid w:val="0"/>
        <w:spacing w:line="470" w:lineRule="atLeast"/>
        <w:ind w:firstLine="0"/>
        <w:jc w:val="center"/>
        <w:rPr>
          <w:rFonts w:hint="eastAsia" w:ascii="仿宋" w:hAnsi="仿宋" w:eastAsia="仿宋" w:cs="仿宋"/>
          <w:b w:val="0"/>
          <w:caps w:val="0"/>
          <w:color w:val="auto"/>
          <w:sz w:val="72"/>
          <w:highlight w:val="none"/>
        </w:rPr>
      </w:pPr>
      <w:r>
        <w:rPr>
          <w:rFonts w:hint="eastAsia" w:ascii="仿宋" w:hAnsi="仿宋" w:eastAsia="仿宋" w:cs="仿宋"/>
          <w:b w:val="0"/>
          <w:caps w:val="0"/>
          <w:color w:val="auto"/>
          <w:sz w:val="72"/>
          <w:highlight w:val="none"/>
          <w:lang w:val="en-US" w:eastAsia="zh-CN"/>
        </w:rPr>
        <w:t>院内招标</w:t>
      </w:r>
      <w:r>
        <w:rPr>
          <w:rFonts w:hint="eastAsia" w:ascii="仿宋" w:hAnsi="仿宋" w:eastAsia="仿宋" w:cs="仿宋"/>
          <w:b w:val="0"/>
          <w:caps w:val="0"/>
          <w:color w:val="auto"/>
          <w:sz w:val="72"/>
          <w:highlight w:val="none"/>
        </w:rPr>
        <w:t>文件</w:t>
      </w:r>
    </w:p>
    <w:p w14:paraId="10A63406">
      <w:pPr>
        <w:pStyle w:val="14"/>
        <w:widowControl w:val="0"/>
        <w:snapToGrid w:val="0"/>
        <w:spacing w:line="470" w:lineRule="atLeast"/>
        <w:ind w:firstLine="0"/>
        <w:jc w:val="center"/>
        <w:rPr>
          <w:rFonts w:hint="eastAsia" w:ascii="仿宋" w:hAnsi="仿宋" w:eastAsia="仿宋" w:cs="仿宋"/>
          <w:b w:val="0"/>
          <w:caps w:val="0"/>
          <w:color w:val="auto"/>
          <w:sz w:val="32"/>
          <w:highlight w:val="none"/>
        </w:rPr>
      </w:pPr>
    </w:p>
    <w:p w14:paraId="2271C065">
      <w:pPr>
        <w:pStyle w:val="14"/>
        <w:widowControl w:val="0"/>
        <w:snapToGrid w:val="0"/>
        <w:spacing w:line="360" w:lineRule="auto"/>
        <w:ind w:firstLine="2400" w:firstLineChars="750"/>
        <w:rPr>
          <w:rFonts w:hint="eastAsia" w:ascii="仿宋" w:hAnsi="仿宋" w:eastAsia="仿宋" w:cs="仿宋"/>
          <w:b w:val="0"/>
          <w:caps w:val="0"/>
          <w:color w:val="auto"/>
          <w:sz w:val="32"/>
          <w:highlight w:val="none"/>
          <w:u w:val="none" w:color="auto"/>
        </w:rPr>
      </w:pPr>
    </w:p>
    <w:p w14:paraId="40E669EF">
      <w:pPr>
        <w:pStyle w:val="14"/>
        <w:widowControl w:val="0"/>
        <w:snapToGrid w:val="0"/>
        <w:spacing w:line="360" w:lineRule="auto"/>
        <w:ind w:left="0" w:leftChars="0" w:firstLine="0" w:firstLineChars="0"/>
        <w:jc w:val="center"/>
        <w:rPr>
          <w:rFonts w:hint="eastAsia" w:ascii="仿宋" w:hAnsi="仿宋" w:eastAsia="仿宋" w:cs="仿宋"/>
          <w:b/>
          <w:caps w:val="0"/>
          <w:color w:val="auto"/>
          <w:sz w:val="32"/>
          <w:highlight w:val="none"/>
          <w:u w:val="none" w:color="auto"/>
        </w:rPr>
      </w:pPr>
      <w:r>
        <w:rPr>
          <w:rFonts w:hint="eastAsia" w:ascii="仿宋" w:hAnsi="仿宋" w:eastAsia="仿宋" w:cs="仿宋"/>
          <w:b w:val="0"/>
          <w:caps w:val="0"/>
          <w:color w:val="auto"/>
          <w:sz w:val="32"/>
          <w:highlight w:val="none"/>
          <w:u w:val="none" w:color="auto"/>
        </w:rPr>
        <w:t>采购编号：</w:t>
      </w:r>
      <w:r>
        <w:rPr>
          <w:rFonts w:hint="eastAsia" w:ascii="仿宋" w:hAnsi="仿宋" w:eastAsia="仿宋" w:cs="仿宋"/>
          <w:color w:val="auto"/>
          <w:kern w:val="0"/>
          <w:sz w:val="29"/>
          <w:szCs w:val="29"/>
          <w:highlight w:val="none"/>
          <w:lang w:val="en-US" w:eastAsia="zh-CN"/>
        </w:rPr>
        <w:t>XHYY-ZW-20250421-001</w:t>
      </w:r>
    </w:p>
    <w:p w14:paraId="468A9E91">
      <w:pPr>
        <w:pStyle w:val="14"/>
        <w:widowControl w:val="0"/>
        <w:snapToGrid w:val="0"/>
        <w:spacing w:line="470" w:lineRule="atLeast"/>
        <w:ind w:firstLine="0"/>
        <w:jc w:val="center"/>
        <w:rPr>
          <w:rFonts w:hint="eastAsia" w:ascii="仿宋" w:hAnsi="仿宋" w:eastAsia="仿宋" w:cs="仿宋"/>
          <w:caps w:val="0"/>
          <w:color w:val="auto"/>
          <w:highlight w:val="none"/>
        </w:rPr>
      </w:pPr>
    </w:p>
    <w:p w14:paraId="1AA4CDA2">
      <w:pPr>
        <w:pStyle w:val="14"/>
        <w:widowControl w:val="0"/>
        <w:snapToGrid w:val="0"/>
        <w:spacing w:line="470" w:lineRule="atLeast"/>
        <w:ind w:firstLine="0"/>
        <w:jc w:val="center"/>
        <w:rPr>
          <w:rFonts w:hint="eastAsia" w:ascii="仿宋" w:hAnsi="仿宋" w:eastAsia="仿宋" w:cs="仿宋"/>
          <w:caps w:val="0"/>
          <w:color w:val="auto"/>
          <w:highlight w:val="none"/>
        </w:rPr>
      </w:pPr>
    </w:p>
    <w:p w14:paraId="08435430">
      <w:pPr>
        <w:pStyle w:val="14"/>
        <w:widowControl w:val="0"/>
        <w:snapToGrid w:val="0"/>
        <w:spacing w:line="470" w:lineRule="atLeast"/>
        <w:ind w:firstLine="0"/>
        <w:rPr>
          <w:rFonts w:hint="eastAsia" w:ascii="仿宋" w:hAnsi="仿宋" w:eastAsia="仿宋" w:cs="仿宋"/>
          <w:caps w:val="0"/>
          <w:color w:val="auto"/>
          <w:highlight w:val="none"/>
        </w:rPr>
      </w:pPr>
    </w:p>
    <w:p w14:paraId="74EE11B5">
      <w:pPr>
        <w:pStyle w:val="14"/>
        <w:spacing w:line="700" w:lineRule="exact"/>
        <w:ind w:firstLine="360" w:firstLineChars="100"/>
        <w:rPr>
          <w:rFonts w:hint="eastAsia" w:ascii="仿宋" w:hAnsi="仿宋" w:eastAsia="仿宋" w:cs="仿宋"/>
          <w:b w:val="0"/>
          <w:caps w:val="0"/>
          <w:color w:val="auto"/>
          <w:sz w:val="36"/>
          <w:highlight w:val="none"/>
        </w:rPr>
      </w:pPr>
    </w:p>
    <w:p w14:paraId="61315FF4">
      <w:pPr>
        <w:pStyle w:val="14"/>
        <w:spacing w:line="700" w:lineRule="exact"/>
        <w:ind w:firstLine="360" w:firstLineChars="100"/>
        <w:rPr>
          <w:rFonts w:hint="eastAsia" w:ascii="仿宋" w:hAnsi="仿宋" w:eastAsia="仿宋" w:cs="仿宋"/>
          <w:b w:val="0"/>
          <w:caps w:val="0"/>
          <w:color w:val="auto"/>
          <w:sz w:val="36"/>
          <w:highlight w:val="none"/>
        </w:rPr>
      </w:pPr>
    </w:p>
    <w:p w14:paraId="2B173241">
      <w:pPr>
        <w:pStyle w:val="14"/>
        <w:spacing w:line="700" w:lineRule="exact"/>
        <w:ind w:firstLine="360" w:firstLineChars="100"/>
        <w:rPr>
          <w:rFonts w:hint="eastAsia" w:ascii="仿宋" w:hAnsi="仿宋" w:eastAsia="仿宋" w:cs="仿宋"/>
          <w:b w:val="0"/>
          <w:caps w:val="0"/>
          <w:color w:val="auto"/>
          <w:sz w:val="36"/>
          <w:highlight w:val="none"/>
        </w:rPr>
      </w:pPr>
    </w:p>
    <w:p w14:paraId="39097226">
      <w:pPr>
        <w:pStyle w:val="14"/>
        <w:spacing w:line="480" w:lineRule="auto"/>
        <w:ind w:firstLine="0"/>
        <w:jc w:val="center"/>
        <w:rPr>
          <w:rFonts w:hint="eastAsia" w:ascii="仿宋" w:hAnsi="仿宋" w:eastAsia="仿宋" w:cs="仿宋"/>
          <w:b w:val="0"/>
          <w:caps w:val="0"/>
          <w:color w:val="auto"/>
          <w:sz w:val="32"/>
          <w:highlight w:val="none"/>
        </w:rPr>
      </w:pPr>
      <w:r>
        <w:rPr>
          <w:rFonts w:hint="eastAsia" w:ascii="仿宋" w:hAnsi="仿宋" w:eastAsia="仿宋" w:cs="仿宋"/>
          <w:b w:val="0"/>
          <w:caps w:val="0"/>
          <w:color w:val="auto"/>
          <w:sz w:val="32"/>
          <w:highlight w:val="none"/>
        </w:rPr>
        <w:t>采购人：浙江中医药大学附属第二医院</w:t>
      </w:r>
    </w:p>
    <w:p w14:paraId="2F33428E">
      <w:pPr>
        <w:pStyle w:val="14"/>
        <w:widowControl w:val="0"/>
        <w:snapToGrid w:val="0"/>
        <w:spacing w:line="700" w:lineRule="exact"/>
        <w:ind w:firstLine="0"/>
        <w:jc w:val="center"/>
        <w:rPr>
          <w:rFonts w:hint="eastAsia" w:ascii="仿宋" w:hAnsi="仿宋" w:eastAsia="仿宋" w:cs="仿宋"/>
          <w:caps w:val="0"/>
          <w:color w:val="auto"/>
          <w:sz w:val="36"/>
          <w:highlight w:val="none"/>
        </w:rPr>
      </w:pPr>
      <w:r>
        <w:rPr>
          <w:rFonts w:hint="eastAsia" w:ascii="仿宋" w:hAnsi="仿宋" w:eastAsia="仿宋" w:cs="仿宋"/>
          <w:b w:val="0"/>
          <w:caps w:val="0"/>
          <w:color w:val="auto"/>
          <w:sz w:val="36"/>
          <w:highlight w:val="none"/>
        </w:rPr>
        <w:t>202</w:t>
      </w:r>
      <w:r>
        <w:rPr>
          <w:rFonts w:hint="eastAsia" w:ascii="仿宋" w:hAnsi="仿宋" w:eastAsia="仿宋" w:cs="仿宋"/>
          <w:b w:val="0"/>
          <w:caps w:val="0"/>
          <w:color w:val="auto"/>
          <w:sz w:val="36"/>
          <w:highlight w:val="none"/>
          <w:lang w:val="en-US" w:eastAsia="zh-CN"/>
        </w:rPr>
        <w:t>5</w:t>
      </w:r>
      <w:r>
        <w:rPr>
          <w:rFonts w:hint="eastAsia" w:ascii="仿宋" w:hAnsi="仿宋" w:eastAsia="仿宋" w:cs="仿宋"/>
          <w:b w:val="0"/>
          <w:caps w:val="0"/>
          <w:color w:val="auto"/>
          <w:sz w:val="36"/>
          <w:highlight w:val="none"/>
        </w:rPr>
        <w:t>年</w:t>
      </w:r>
      <w:r>
        <w:rPr>
          <w:rFonts w:hint="eastAsia" w:ascii="仿宋" w:hAnsi="仿宋" w:eastAsia="仿宋" w:cs="仿宋"/>
          <w:b w:val="0"/>
          <w:caps w:val="0"/>
          <w:color w:val="auto"/>
          <w:sz w:val="36"/>
          <w:highlight w:val="none"/>
          <w:lang w:val="en-US" w:eastAsia="zh-CN"/>
        </w:rPr>
        <w:t>4</w:t>
      </w:r>
      <w:r>
        <w:rPr>
          <w:rFonts w:hint="eastAsia" w:ascii="仿宋" w:hAnsi="仿宋" w:eastAsia="仿宋" w:cs="仿宋"/>
          <w:b w:val="0"/>
          <w:caps w:val="0"/>
          <w:color w:val="auto"/>
          <w:sz w:val="36"/>
          <w:highlight w:val="none"/>
        </w:rPr>
        <w:t>月</w:t>
      </w:r>
    </w:p>
    <w:p w14:paraId="7ABC9028">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sectPr>
          <w:headerReference r:id="rId3" w:type="default"/>
          <w:footerReference r:id="rId4" w:type="default"/>
          <w:footerReference r:id="rId5" w:type="even"/>
          <w:pgSz w:w="11906" w:h="16838"/>
          <w:pgMar w:top="1503" w:right="1416" w:bottom="1644" w:left="1797" w:header="851" w:footer="992" w:gutter="0"/>
          <w:cols w:space="720" w:num="1"/>
          <w:docGrid w:type="linesAndChars" w:linePitch="312" w:charSpace="0"/>
        </w:sectPr>
      </w:pPr>
    </w:p>
    <w:p w14:paraId="38E3FA0D">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pPr>
      <w:r>
        <w:rPr>
          <w:rFonts w:hint="eastAsia" w:ascii="仿宋" w:hAnsi="仿宋" w:eastAsia="仿宋" w:cs="仿宋"/>
          <w:caps w:val="0"/>
          <w:color w:val="auto"/>
          <w:sz w:val="32"/>
          <w:highlight w:val="none"/>
        </w:rPr>
        <w:t>目录</w:t>
      </w:r>
    </w:p>
    <w:p w14:paraId="5DFDA8AD">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pPr>
    </w:p>
    <w:p w14:paraId="1A160C26">
      <w:pPr>
        <w:pStyle w:val="8"/>
        <w:tabs>
          <w:tab w:val="right" w:leader="dot" w:pos="8681"/>
        </w:tabs>
        <w:ind w:firstLine="120"/>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Fonts w:hint="eastAsia" w:ascii="仿宋" w:hAnsi="仿宋" w:eastAsia="仿宋" w:cs="仿宋"/>
          <w:caps w:val="0"/>
          <w:color w:val="auto"/>
          <w:sz w:val="24"/>
          <w:szCs w:val="24"/>
          <w:highlight w:val="none"/>
        </w:rPr>
        <w:instrText xml:space="preserve"> TOC \o "1-3" \h \z \u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"_Toc472544470"</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 xml:space="preserve">第一部分  </w:t>
      </w:r>
      <w:r>
        <w:rPr>
          <w:rStyle w:val="13"/>
          <w:rFonts w:hint="eastAsia" w:ascii="仿宋" w:hAnsi="仿宋" w:eastAsia="仿宋" w:cs="仿宋"/>
          <w:caps w:val="0"/>
          <w:color w:val="auto"/>
          <w:sz w:val="24"/>
          <w:szCs w:val="24"/>
          <w:highlight w:val="none"/>
          <w:lang w:val="en-US" w:eastAsia="zh-CN"/>
        </w:rPr>
        <w:t>院内招标</w:t>
      </w:r>
      <w:r>
        <w:rPr>
          <w:rStyle w:val="13"/>
          <w:rFonts w:hint="eastAsia" w:ascii="仿宋" w:hAnsi="仿宋" w:eastAsia="仿宋" w:cs="仿宋"/>
          <w:caps w:val="0"/>
          <w:color w:val="auto"/>
          <w:sz w:val="24"/>
          <w:szCs w:val="24"/>
          <w:highlight w:val="none"/>
        </w:rPr>
        <w:t>公告</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fldChar w:fldCharType="begin"/>
      </w:r>
      <w:r>
        <w:rPr>
          <w:rFonts w:hint="eastAsia" w:ascii="仿宋" w:hAnsi="仿宋" w:eastAsia="仿宋" w:cs="仿宋"/>
          <w:caps w:val="0"/>
          <w:color w:val="auto"/>
          <w:sz w:val="24"/>
          <w:szCs w:val="24"/>
          <w:highlight w:val="none"/>
        </w:rPr>
        <w:instrText xml:space="preserve"> PAGEREF _Toc472544470 \h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t>3</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rPr>
        <w:fldChar w:fldCharType="end"/>
      </w:r>
    </w:p>
    <w:p w14:paraId="4B614FED">
      <w:pPr>
        <w:pStyle w:val="8"/>
        <w:tabs>
          <w:tab w:val="right" w:leader="dot" w:pos="8681"/>
        </w:tabs>
        <w:ind w:firstLine="120"/>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"_Toc472544471"</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第二部分</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须知</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7F3A9708">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"_Toc472544472"</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一、总则</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4DB67778">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"_Toc472544473"</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二、</w:t>
      </w:r>
      <w:r>
        <w:rPr>
          <w:rStyle w:val="13"/>
          <w:rFonts w:hint="eastAsia" w:ascii="仿宋" w:hAnsi="仿宋" w:eastAsia="仿宋" w:cs="仿宋"/>
          <w:caps w:val="0"/>
          <w:color w:val="auto"/>
          <w:sz w:val="24"/>
          <w:szCs w:val="24"/>
          <w:highlight w:val="none"/>
          <w:lang w:val="en-US" w:eastAsia="zh-CN"/>
        </w:rPr>
        <w:t>院内招标</w:t>
      </w:r>
      <w:r>
        <w:rPr>
          <w:rStyle w:val="13"/>
          <w:rFonts w:hint="eastAsia" w:ascii="仿宋" w:hAnsi="仿宋" w:eastAsia="仿宋" w:cs="仿宋"/>
          <w:caps w:val="0"/>
          <w:color w:val="auto"/>
          <w:sz w:val="24"/>
          <w:szCs w:val="24"/>
          <w:highlight w:val="none"/>
        </w:rPr>
        <w:t>文件</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2730AFF5">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"_Toc472544474"</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三、响应文件编制要求</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6</w:t>
      </w:r>
      <w:r>
        <w:rPr>
          <w:rFonts w:hint="eastAsia" w:ascii="仿宋" w:hAnsi="仿宋" w:eastAsia="仿宋" w:cs="仿宋"/>
          <w:caps w:val="0"/>
          <w:color w:val="auto"/>
          <w:sz w:val="24"/>
          <w:szCs w:val="24"/>
          <w:highlight w:val="none"/>
        </w:rPr>
        <w:fldChar w:fldCharType="end"/>
      </w:r>
    </w:p>
    <w:p w14:paraId="212F03D2">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"_Toc472544475"</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四、响应文件的递交</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9</w:t>
      </w:r>
      <w:r>
        <w:rPr>
          <w:rFonts w:hint="eastAsia" w:ascii="仿宋" w:hAnsi="仿宋" w:eastAsia="仿宋" w:cs="仿宋"/>
          <w:caps w:val="0"/>
          <w:color w:val="auto"/>
          <w:sz w:val="24"/>
          <w:szCs w:val="24"/>
          <w:highlight w:val="none"/>
        </w:rPr>
        <w:fldChar w:fldCharType="end"/>
      </w:r>
    </w:p>
    <w:p w14:paraId="7E08DC13">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"_Toc472544476"</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五、开启响应文件</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0</w:t>
      </w:r>
    </w:p>
    <w:p w14:paraId="29081964">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"_Toc472544477"</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六、</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人员及相关原则</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0</w:t>
      </w:r>
    </w:p>
    <w:p w14:paraId="3627171E">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"_Toc472544478"</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七、</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程序</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1</w:t>
      </w:r>
    </w:p>
    <w:p w14:paraId="6572AEB7">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"_Toc472544479"</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八、确定成交供应商</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4</w:t>
      </w:r>
    </w:p>
    <w:p w14:paraId="3944453B">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"_Toc472544480"</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九、签订合同</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"_Toc472544481"</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fldChar w:fldCharType="end"/>
      </w:r>
    </w:p>
    <w:p w14:paraId="3E8C6A81">
      <w:pPr>
        <w:pStyle w:val="8"/>
        <w:tabs>
          <w:tab w:val="right" w:leader="dot" w:pos="8681"/>
        </w:tabs>
        <w:ind w:firstLine="120"/>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"_Toc472544483"</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第三部分 用户需求书</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6</w:t>
      </w:r>
    </w:p>
    <w:p w14:paraId="04EAE2CD">
      <w:pPr>
        <w:pStyle w:val="8"/>
        <w:tabs>
          <w:tab w:val="right" w:leader="dot" w:pos="8681"/>
        </w:tabs>
        <w:ind w:firstLine="120"/>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"_Toc472544484"</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第四部分 合同主要条款</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8</w:t>
      </w:r>
    </w:p>
    <w:p w14:paraId="5BAD8230">
      <w:pPr>
        <w:pStyle w:val="2"/>
        <w:tabs>
          <w:tab w:val="right" w:leader="dot" w:pos="9000"/>
        </w:tabs>
        <w:snapToGrid w:val="0"/>
        <w:spacing w:before="0" w:after="0"/>
        <w:jc w:val="center"/>
        <w:rPr>
          <w:rStyle w:val="15"/>
          <w:rFonts w:hint="eastAsia" w:ascii="仿宋" w:hAnsi="仿宋" w:eastAsia="仿宋" w:cs="仿宋"/>
          <w:b w:val="0"/>
          <w:caps w:val="0"/>
          <w:color w:val="auto"/>
          <w:sz w:val="32"/>
          <w:highlight w:val="none"/>
        </w:rPr>
      </w:pPr>
      <w:r>
        <w:rPr>
          <w:rFonts w:hint="eastAsia" w:ascii="仿宋" w:hAnsi="仿宋" w:eastAsia="仿宋" w:cs="仿宋"/>
          <w:b w:val="0"/>
          <w:caps w:val="0"/>
          <w:color w:val="auto"/>
          <w:sz w:val="24"/>
          <w:szCs w:val="24"/>
          <w:highlight w:val="none"/>
        </w:rPr>
        <w:fldChar w:fldCharType="end"/>
      </w:r>
      <w:r>
        <w:rPr>
          <w:rFonts w:hint="eastAsia" w:ascii="仿宋" w:hAnsi="仿宋" w:eastAsia="仿宋" w:cs="仿宋"/>
          <w:caps w:val="0"/>
          <w:color w:val="auto"/>
          <w:sz w:val="24"/>
          <w:highlight w:val="none"/>
        </w:rPr>
        <w:br w:type="page"/>
      </w:r>
      <w:bookmarkStart w:id="0" w:name="_Toc118516209"/>
      <w:bookmarkStart w:id="1" w:name="_Toc472544470"/>
      <w:bookmarkStart w:id="2" w:name="_Toc171394907"/>
      <w:r>
        <w:rPr>
          <w:rFonts w:hint="eastAsia" w:ascii="仿宋" w:hAnsi="仿宋" w:eastAsia="仿宋" w:cs="仿宋"/>
          <w:caps w:val="0"/>
          <w:color w:val="auto"/>
          <w:sz w:val="32"/>
          <w:highlight w:val="none"/>
        </w:rPr>
        <w:t>第一部分</w:t>
      </w:r>
      <w:bookmarkEnd w:id="0"/>
      <w:r>
        <w:rPr>
          <w:rFonts w:hint="eastAsia" w:ascii="仿宋" w:hAnsi="仿宋" w:eastAsia="仿宋" w:cs="仿宋"/>
          <w:caps w:val="0"/>
          <w:color w:val="auto"/>
          <w:sz w:val="32"/>
          <w:highlight w:val="none"/>
        </w:rPr>
        <w:t xml:space="preserve">  </w:t>
      </w:r>
      <w:r>
        <w:rPr>
          <w:rFonts w:hint="eastAsia" w:ascii="仿宋" w:hAnsi="仿宋" w:eastAsia="仿宋" w:cs="仿宋"/>
          <w:caps w:val="0"/>
          <w:color w:val="auto"/>
          <w:sz w:val="32"/>
          <w:highlight w:val="none"/>
          <w:lang w:val="en-US" w:eastAsia="zh-CN"/>
        </w:rPr>
        <w:t>院内招标</w:t>
      </w:r>
      <w:r>
        <w:rPr>
          <w:rFonts w:hint="eastAsia" w:ascii="仿宋" w:hAnsi="仿宋" w:eastAsia="仿宋" w:cs="仿宋"/>
          <w:caps w:val="0"/>
          <w:color w:val="auto"/>
          <w:sz w:val="32"/>
          <w:highlight w:val="none"/>
        </w:rPr>
        <w:t>公告</w:t>
      </w:r>
      <w:bookmarkEnd w:id="1"/>
      <w:bookmarkEnd w:id="2"/>
    </w:p>
    <w:p w14:paraId="602747D8">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480" w:firstLineChars="200"/>
        <w:rPr>
          <w:rFonts w:hint="eastAsia" w:ascii="仿宋" w:hAnsi="仿宋" w:eastAsia="仿宋" w:cs="仿宋"/>
          <w:caps w:val="0"/>
          <w:color w:val="auto"/>
          <w:sz w:val="24"/>
          <w:highlight w:val="none"/>
        </w:rPr>
      </w:pPr>
      <w:bookmarkStart w:id="3" w:name="_Toc171394908"/>
      <w:r>
        <w:rPr>
          <w:rFonts w:hint="eastAsia" w:ascii="仿宋" w:hAnsi="仿宋" w:eastAsia="仿宋" w:cs="仿宋"/>
          <w:caps w:val="0"/>
          <w:color w:val="auto"/>
          <w:sz w:val="24"/>
          <w:highlight w:val="none"/>
        </w:rPr>
        <w:t>浙江中医药大学附属第二医院就</w:t>
      </w:r>
      <w:r>
        <w:rPr>
          <w:rFonts w:hint="eastAsia" w:ascii="仿宋" w:hAnsi="仿宋" w:eastAsia="仿宋" w:cs="仿宋"/>
          <w:caps w:val="0"/>
          <w:color w:val="auto"/>
          <w:sz w:val="24"/>
          <w:highlight w:val="none"/>
          <w:u w:val="single"/>
        </w:rPr>
        <w:t>20</w:t>
      </w:r>
      <w:r>
        <w:rPr>
          <w:rFonts w:hint="eastAsia" w:ascii="仿宋" w:hAnsi="仿宋" w:eastAsia="仿宋" w:cs="仿宋"/>
          <w:caps w:val="0"/>
          <w:color w:val="auto"/>
          <w:sz w:val="24"/>
          <w:highlight w:val="none"/>
          <w:u w:val="single"/>
          <w:lang w:val="en-US" w:eastAsia="zh-CN"/>
        </w:rPr>
        <w:t>25年厨房超声波鼓泡洗菜池(多功能清洗机）</w:t>
      </w:r>
      <w:r>
        <w:rPr>
          <w:rFonts w:hint="eastAsia" w:ascii="仿宋" w:hAnsi="仿宋" w:eastAsia="仿宋" w:cs="仿宋"/>
          <w:kern w:val="0"/>
          <w:sz w:val="24"/>
          <w:szCs w:val="24"/>
          <w:highlight w:val="none"/>
          <w:u w:val="single"/>
          <w:lang w:val="en-US" w:eastAsia="zh-CN"/>
        </w:rPr>
        <w:t>采购</w:t>
      </w:r>
      <w:r>
        <w:rPr>
          <w:rFonts w:hint="eastAsia" w:ascii="仿宋" w:hAnsi="仿宋" w:eastAsia="仿宋" w:cs="仿宋"/>
          <w:kern w:val="0"/>
          <w:sz w:val="24"/>
          <w:szCs w:val="24"/>
          <w:highlight w:val="none"/>
          <w:u w:val="single"/>
        </w:rPr>
        <w:t>项目</w:t>
      </w:r>
      <w:r>
        <w:rPr>
          <w:rFonts w:hint="eastAsia" w:ascii="仿宋" w:hAnsi="仿宋" w:eastAsia="仿宋" w:cs="仿宋"/>
          <w:caps w:val="0"/>
          <w:color w:val="auto"/>
          <w:sz w:val="24"/>
          <w:highlight w:val="none"/>
        </w:rPr>
        <w:t>组织</w:t>
      </w:r>
      <w:r>
        <w:rPr>
          <w:rFonts w:hint="eastAsia" w:ascii="仿宋" w:hAnsi="仿宋" w:eastAsia="仿宋" w:cs="仿宋"/>
          <w:caps w:val="0"/>
          <w:color w:val="auto"/>
          <w:sz w:val="24"/>
          <w:highlight w:val="none"/>
          <w:lang w:val="en-US" w:eastAsia="zh-CN"/>
        </w:rPr>
        <w:t>院内</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，欢迎国内符合条件的供应商参加本次</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活动。具体内容如下：</w:t>
      </w:r>
    </w:p>
    <w:p w14:paraId="08B4DA20">
      <w:pPr>
        <w:pStyle w:val="5"/>
        <w:snapToGrid w:val="0"/>
        <w:spacing w:line="360" w:lineRule="auto"/>
        <w:ind w:firstLine="482" w:firstLineChars="200"/>
        <w:rPr>
          <w:rFonts w:hint="eastAsia" w:ascii="仿宋" w:hAnsi="仿宋" w:eastAsia="仿宋" w:cs="仿宋"/>
          <w:caps w:val="0"/>
          <w:color w:val="auto"/>
          <w:sz w:val="24"/>
          <w:highlight w:val="none"/>
          <w:lang w:val="en-US" w:eastAsia="zh-CN"/>
        </w:rPr>
      </w:pPr>
      <w:r>
        <w:rPr>
          <w:rFonts w:hint="eastAsia" w:ascii="仿宋" w:hAnsi="仿宋" w:eastAsia="仿宋" w:cs="仿宋"/>
          <w:b/>
          <w:caps w:val="0"/>
          <w:color w:val="auto"/>
          <w:sz w:val="24"/>
          <w:highlight w:val="none"/>
        </w:rPr>
        <w:t>一、采购项目编号</w:t>
      </w:r>
      <w:bookmarkEnd w:id="3"/>
      <w:r>
        <w:rPr>
          <w:rFonts w:hint="eastAsia" w:ascii="仿宋" w:hAnsi="仿宋" w:eastAsia="仿宋" w:cs="仿宋"/>
          <w:b/>
          <w:caps w:val="0"/>
          <w:color w:val="auto"/>
          <w:sz w:val="24"/>
          <w:highlight w:val="none"/>
        </w:rPr>
        <w:t>：</w:t>
      </w:r>
      <w:r>
        <w:rPr>
          <w:rFonts w:hint="eastAsia" w:ascii="仿宋" w:hAnsi="仿宋" w:eastAsia="仿宋" w:cs="仿宋"/>
          <w:caps w:val="0"/>
          <w:color w:val="auto"/>
          <w:sz w:val="24"/>
          <w:highlight w:val="none"/>
          <w:lang w:val="en-US" w:eastAsia="zh-CN"/>
        </w:rPr>
        <w:t>XHYY-ZW-20250421-001</w:t>
      </w:r>
    </w:p>
    <w:p w14:paraId="556A1F29">
      <w:pPr>
        <w:pStyle w:val="5"/>
        <w:snapToGrid w:val="0"/>
        <w:spacing w:line="360" w:lineRule="auto"/>
        <w:ind w:firstLine="482" w:firstLineChars="200"/>
        <w:rPr>
          <w:rFonts w:hint="eastAsia" w:ascii="仿宋" w:hAnsi="仿宋" w:eastAsia="仿宋" w:cs="仿宋"/>
          <w:caps w:val="0"/>
          <w:color w:val="auto"/>
          <w:sz w:val="24"/>
          <w:highlight w:val="none"/>
        </w:rPr>
      </w:pPr>
      <w:r>
        <w:rPr>
          <w:rFonts w:hint="eastAsia" w:ascii="仿宋" w:hAnsi="仿宋" w:eastAsia="仿宋" w:cs="仿宋"/>
          <w:b/>
          <w:caps w:val="0"/>
          <w:color w:val="auto"/>
          <w:sz w:val="24"/>
          <w:highlight w:val="none"/>
        </w:rPr>
        <w:t>二、采购项目名称：</w:t>
      </w:r>
      <w:r>
        <w:rPr>
          <w:rFonts w:hint="eastAsia" w:ascii="仿宋" w:hAnsi="仿宋" w:eastAsia="仿宋" w:cs="仿宋"/>
          <w:caps w:val="0"/>
          <w:color w:val="auto"/>
          <w:sz w:val="24"/>
          <w:highlight w:val="none"/>
        </w:rPr>
        <w:t>202</w:t>
      </w:r>
      <w:r>
        <w:rPr>
          <w:rFonts w:hint="eastAsia" w:ascii="仿宋" w:hAnsi="仿宋" w:eastAsia="仿宋" w:cs="仿宋"/>
          <w:caps w:val="0"/>
          <w:color w:val="auto"/>
          <w:sz w:val="24"/>
          <w:highlight w:val="none"/>
          <w:lang w:val="en-US" w:eastAsia="zh-CN"/>
        </w:rPr>
        <w:t>5年厨房超声波鼓泡洗菜池(多功能清洗机）</w:t>
      </w:r>
      <w:r>
        <w:rPr>
          <w:rFonts w:hint="eastAsia" w:ascii="仿宋" w:hAnsi="仿宋" w:eastAsia="仿宋" w:cs="仿宋"/>
          <w:kern w:val="0"/>
          <w:sz w:val="24"/>
          <w:szCs w:val="24"/>
          <w:highlight w:val="none"/>
          <w:lang w:val="en-US" w:eastAsia="zh-CN"/>
        </w:rPr>
        <w:t>采购</w:t>
      </w:r>
      <w:r>
        <w:rPr>
          <w:rFonts w:hint="eastAsia" w:ascii="仿宋" w:hAnsi="仿宋" w:eastAsia="仿宋" w:cs="仿宋"/>
          <w:kern w:val="0"/>
          <w:sz w:val="24"/>
          <w:szCs w:val="24"/>
          <w:highlight w:val="none"/>
        </w:rPr>
        <w:t>项目</w:t>
      </w:r>
    </w:p>
    <w:p w14:paraId="1C484319">
      <w:pPr>
        <w:pStyle w:val="5"/>
        <w:snapToGrid w:val="0"/>
        <w:spacing w:line="360" w:lineRule="auto"/>
        <w:ind w:firstLine="482" w:firstLineChars="200"/>
        <w:rPr>
          <w:rFonts w:hint="eastAsia" w:ascii="仿宋" w:hAnsi="仿宋" w:eastAsia="仿宋" w:cs="仿宋"/>
          <w:b/>
          <w:caps w:val="0"/>
          <w:color w:val="auto"/>
          <w:sz w:val="24"/>
          <w:highlight w:val="none"/>
          <w:lang w:eastAsia="zh-CN"/>
        </w:rPr>
      </w:pPr>
      <w:r>
        <w:rPr>
          <w:rFonts w:hint="eastAsia" w:ascii="仿宋" w:hAnsi="仿宋" w:eastAsia="仿宋" w:cs="仿宋"/>
          <w:b/>
          <w:caps w:val="0"/>
          <w:color w:val="auto"/>
          <w:sz w:val="24"/>
          <w:highlight w:val="none"/>
        </w:rPr>
        <w:t>三、采购方式：</w:t>
      </w:r>
      <w:r>
        <w:rPr>
          <w:rFonts w:hint="eastAsia" w:ascii="仿宋" w:hAnsi="仿宋" w:eastAsia="仿宋" w:cs="仿宋"/>
          <w:caps w:val="0"/>
          <w:color w:val="auto"/>
          <w:sz w:val="24"/>
          <w:highlight w:val="none"/>
          <w:lang w:val="en-US" w:eastAsia="zh-CN"/>
        </w:rPr>
        <w:t>院内</w:t>
      </w:r>
      <w:r>
        <w:rPr>
          <w:rFonts w:hint="eastAsia" w:ascii="仿宋" w:hAnsi="仿宋" w:eastAsia="仿宋" w:cs="仿宋"/>
          <w:caps w:val="0"/>
          <w:color w:val="auto"/>
          <w:sz w:val="24"/>
          <w:highlight w:val="none"/>
          <w:lang w:eastAsia="zh-CN"/>
        </w:rPr>
        <w:t>招标</w:t>
      </w:r>
    </w:p>
    <w:p w14:paraId="35B07282">
      <w:pPr>
        <w:pStyle w:val="5"/>
        <w:snapToGrid w:val="0"/>
        <w:spacing w:line="360" w:lineRule="auto"/>
        <w:ind w:firstLine="482" w:firstLineChars="200"/>
        <w:rPr>
          <w:rFonts w:hint="eastAsia" w:ascii="仿宋" w:hAnsi="仿宋" w:eastAsia="仿宋" w:cs="仿宋"/>
          <w:b/>
          <w:caps w:val="0"/>
          <w:color w:val="auto"/>
          <w:sz w:val="24"/>
          <w:highlight w:val="none"/>
        </w:rPr>
      </w:pPr>
      <w:bookmarkStart w:id="4" w:name="_Toc171394909"/>
      <w:bookmarkStart w:id="5" w:name="_Toc309064918"/>
      <w:bookmarkStart w:id="6" w:name="_Toc309064919"/>
      <w:bookmarkStart w:id="7" w:name="_Toc171394910"/>
      <w:r>
        <w:rPr>
          <w:rFonts w:hint="eastAsia" w:ascii="仿宋" w:hAnsi="仿宋" w:eastAsia="仿宋" w:cs="仿宋"/>
          <w:b/>
          <w:caps w:val="0"/>
          <w:color w:val="auto"/>
          <w:sz w:val="24"/>
          <w:highlight w:val="none"/>
        </w:rPr>
        <w:t>四、采购项目的概况：</w:t>
      </w:r>
      <w:bookmarkEnd w:id="4"/>
      <w:bookmarkEnd w:id="5"/>
    </w:p>
    <w:tbl>
      <w:tblPr>
        <w:tblStyle w:val="10"/>
        <w:tblW w:w="5143" w:type="pct"/>
        <w:tblInd w:w="0" w:type="dxa"/>
        <w:tblLayout w:type="fixed"/>
        <w:tblCellMar>
          <w:top w:w="15" w:type="dxa"/>
          <w:left w:w="15" w:type="dxa"/>
          <w:bottom w:w="15" w:type="dxa"/>
          <w:right w:w="15" w:type="dxa"/>
        </w:tblCellMar>
      </w:tblPr>
      <w:tblGrid>
        <w:gridCol w:w="784"/>
        <w:gridCol w:w="1379"/>
        <w:gridCol w:w="2669"/>
        <w:gridCol w:w="3103"/>
        <w:gridCol w:w="974"/>
        <w:gridCol w:w="755"/>
      </w:tblGrid>
      <w:tr w14:paraId="4D2D8E66">
        <w:tblPrEx>
          <w:tblCellMar>
            <w:top w:w="15" w:type="dxa"/>
            <w:left w:w="15" w:type="dxa"/>
            <w:bottom w:w="15" w:type="dxa"/>
            <w:right w:w="15" w:type="dxa"/>
          </w:tblCellMar>
        </w:tblPrEx>
        <w:trPr>
          <w:trHeight w:val="345" w:hRule="atLeast"/>
        </w:trPr>
        <w:tc>
          <w:tcPr>
            <w:tcW w:w="78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24BC083">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序号</w:t>
            </w:r>
          </w:p>
        </w:tc>
        <w:tc>
          <w:tcPr>
            <w:tcW w:w="137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141E46">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bCs/>
                <w:kern w:val="0"/>
                <w:sz w:val="24"/>
                <w:szCs w:val="24"/>
              </w:rPr>
              <w:t>设备名称</w:t>
            </w:r>
          </w:p>
        </w:tc>
        <w:tc>
          <w:tcPr>
            <w:tcW w:w="577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06AA210">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具体参数</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310A180">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单位</w:t>
            </w:r>
          </w:p>
        </w:tc>
        <w:tc>
          <w:tcPr>
            <w:tcW w:w="75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CCCFBCD">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预估数量</w:t>
            </w:r>
          </w:p>
        </w:tc>
      </w:tr>
      <w:tr w14:paraId="3650C5C8">
        <w:tblPrEx>
          <w:tblCellMar>
            <w:top w:w="15" w:type="dxa"/>
            <w:left w:w="15" w:type="dxa"/>
            <w:bottom w:w="15" w:type="dxa"/>
            <w:right w:w="15" w:type="dxa"/>
          </w:tblCellMar>
        </w:tblPrEx>
        <w:trPr>
          <w:trHeight w:val="2315" w:hRule="atLeast"/>
        </w:trPr>
        <w:tc>
          <w:tcPr>
            <w:tcW w:w="78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7413E1F">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color w:val="000000"/>
                <w:sz w:val="24"/>
                <w:szCs w:val="24"/>
                <w:lang w:val="en-US" w:eastAsia="zh-CN"/>
              </w:rPr>
              <w:t>1</w:t>
            </w:r>
          </w:p>
        </w:tc>
        <w:tc>
          <w:tcPr>
            <w:tcW w:w="137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BFDDB81">
            <w:pPr>
              <w:tabs>
                <w:tab w:val="left" w:pos="4680"/>
                <w:tab w:val="left" w:pos="5940"/>
                <w:tab w:val="left" w:pos="7560"/>
                <w:tab w:val="left" w:pos="8250"/>
                <w:tab w:val="left" w:pos="8820"/>
              </w:tabs>
              <w:spacing w:line="360" w:lineRule="auto"/>
              <w:ind w:left="0" w:leftChars="0" w:firstLine="0" w:firstLineChars="0"/>
              <w:jc w:val="both"/>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snapToGrid/>
                <w:color w:val="000000"/>
                <w:kern w:val="2"/>
                <w:sz w:val="24"/>
                <w:szCs w:val="24"/>
                <w:lang w:val="en-US" w:eastAsia="zh-CN"/>
              </w:rPr>
              <w:t>超声波鼓泡洗菜池(多功能清洗机）</w:t>
            </w:r>
          </w:p>
        </w:tc>
        <w:tc>
          <w:tcPr>
            <w:tcW w:w="577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A597E21">
            <w:pPr>
              <w:spacing w:line="360" w:lineRule="auto"/>
              <w:ind w:left="0" w:leftChars="0"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说明：采用SUS304-2B优质发纹贴塑不锈钢板制作，台面δ=1.2mm，</w:t>
            </w:r>
          </w:p>
          <w:p w14:paraId="4A47E998">
            <w:pPr>
              <w:spacing w:line="360" w:lineRule="auto"/>
              <w:ind w:left="0" w:leftChars="0"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电表功率：3.55K W</w:t>
            </w:r>
          </w:p>
          <w:p w14:paraId="2A0BC6FB">
            <w:pPr>
              <w:spacing w:line="360" w:lineRule="auto"/>
              <w:ind w:left="0" w:leftChars="0"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加热管功率：3KW</w:t>
            </w:r>
          </w:p>
          <w:p w14:paraId="4C92AE7D">
            <w:pPr>
              <w:spacing w:line="360" w:lineRule="auto"/>
              <w:ind w:left="0" w:leftChars="0"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电压：220V</w:t>
            </w:r>
          </w:p>
          <w:p w14:paraId="201BE639">
            <w:pPr>
              <w:spacing w:line="360" w:lineRule="auto"/>
              <w:ind w:left="0" w:leftChars="0"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容量：288L</w:t>
            </w:r>
          </w:p>
          <w:p w14:paraId="7BF91091">
            <w:pPr>
              <w:spacing w:line="360" w:lineRule="auto"/>
              <w:ind w:left="0" w:leftChars="0"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水槽尺寸：1600W×600D×300H</w:t>
            </w:r>
          </w:p>
          <w:p w14:paraId="403DB600">
            <w:pPr>
              <w:spacing w:line="360" w:lineRule="auto"/>
              <w:ind w:left="0" w:leftChars="0"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规格：约1800W×800D×800H</w:t>
            </w:r>
          </w:p>
        </w:tc>
        <w:tc>
          <w:tcPr>
            <w:tcW w:w="97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660EA06">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val="0"/>
                <w:bCs/>
                <w:color w:val="000000"/>
                <w:sz w:val="24"/>
                <w:szCs w:val="24"/>
                <w:lang w:val="en-US" w:eastAsia="zh-CN"/>
              </w:rPr>
              <w:t>台</w:t>
            </w:r>
          </w:p>
        </w:tc>
        <w:tc>
          <w:tcPr>
            <w:tcW w:w="75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270AEB7">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台</w:t>
            </w:r>
          </w:p>
        </w:tc>
      </w:tr>
      <w:tr w14:paraId="21604AD5">
        <w:tblPrEx>
          <w:tblCellMar>
            <w:top w:w="15" w:type="dxa"/>
            <w:left w:w="15" w:type="dxa"/>
            <w:bottom w:w="15" w:type="dxa"/>
            <w:right w:w="15" w:type="dxa"/>
          </w:tblCellMar>
        </w:tblPrEx>
        <w:trPr>
          <w:trHeight w:val="683" w:hRule="atLeast"/>
        </w:trPr>
        <w:tc>
          <w:tcPr>
            <w:tcW w:w="4832"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E392C89">
            <w:pPr>
              <w:ind w:left="0" w:leftChars="0" w:firstLine="0" w:firstLineChars="0"/>
              <w:jc w:val="both"/>
              <w:rPr>
                <w:rFonts w:hint="eastAsia" w:ascii="仿宋" w:hAnsi="仿宋" w:eastAsia="仿宋" w:cs="仿宋"/>
                <w:b w:val="0"/>
                <w:bCs/>
                <w:color w:val="000000"/>
                <w:sz w:val="24"/>
                <w:szCs w:val="24"/>
                <w:lang w:val="en-US" w:eastAsia="zh-CN"/>
              </w:rPr>
            </w:pPr>
            <w:r>
              <w:rPr>
                <w:rFonts w:hint="eastAsia" w:ascii="仿宋" w:hAnsi="仿宋" w:eastAsia="仿宋" w:cs="仿宋"/>
                <w:b/>
                <w:color w:val="000000"/>
                <w:sz w:val="24"/>
                <w:szCs w:val="24"/>
                <w:lang w:val="en-US" w:eastAsia="zh-CN"/>
              </w:rPr>
              <w:t>本项目最高限价（元）</w:t>
            </w:r>
          </w:p>
        </w:tc>
        <w:tc>
          <w:tcPr>
            <w:tcW w:w="4832"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83D167A">
            <w:pPr>
              <w:ind w:left="0" w:leftChars="0" w:firstLine="0" w:firstLineChars="0"/>
              <w:jc w:val="both"/>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25000</w:t>
            </w:r>
          </w:p>
        </w:tc>
      </w:tr>
      <w:tr w14:paraId="4C6C0257">
        <w:tblPrEx>
          <w:tblCellMar>
            <w:top w:w="15" w:type="dxa"/>
            <w:left w:w="15" w:type="dxa"/>
            <w:bottom w:w="15" w:type="dxa"/>
            <w:right w:w="15" w:type="dxa"/>
          </w:tblCellMar>
        </w:tblPrEx>
        <w:trPr>
          <w:trHeight w:val="1170" w:hRule="atLeast"/>
        </w:trPr>
        <w:tc>
          <w:tcPr>
            <w:tcW w:w="9664" w:type="dxa"/>
            <w:gridSpan w:val="6"/>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01650AC">
            <w:pPr>
              <w:ind w:left="0" w:leftChars="0" w:firstLine="0" w:firstLineChars="0"/>
              <w:jc w:val="both"/>
              <w:rPr>
                <w:rFonts w:hint="eastAsia" w:ascii="仿宋" w:hAnsi="仿宋" w:eastAsia="仿宋" w:cs="仿宋"/>
                <w:b w:val="0"/>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备注：供应商可在投标前来查看现场，确保使用的商品可以妥善安装在采购人指定区域内，且能正常使用。</w:t>
            </w:r>
          </w:p>
        </w:tc>
      </w:tr>
    </w:tbl>
    <w:p w14:paraId="5712AB8A">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0" w:firstLineChars="0"/>
        <w:jc w:val="left"/>
        <w:rPr>
          <w:rFonts w:hint="eastAsia" w:ascii="仿宋" w:hAnsi="仿宋" w:eastAsia="仿宋" w:cs="仿宋"/>
          <w:b/>
          <w:caps w:val="0"/>
          <w:color w:val="auto"/>
          <w:sz w:val="24"/>
          <w:highlight w:val="none"/>
        </w:rPr>
      </w:pPr>
      <w:r>
        <w:rPr>
          <w:rFonts w:hint="eastAsia" w:ascii="Times New Roman" w:hAnsi="Times New Roman" w:eastAsia="仿宋" w:cs="仿宋"/>
          <w:kern w:val="0"/>
          <w:sz w:val="24"/>
          <w:szCs w:val="24"/>
          <w:highlight w:val="none"/>
        </w:rPr>
        <w:t>注：不论采购结果如何，投标人均应自行承担所有与采购有关的全部费用。</w:t>
      </w:r>
    </w:p>
    <w:p w14:paraId="74168F07">
      <w:pPr>
        <w:pStyle w:val="5"/>
        <w:snapToGrid w:val="0"/>
        <w:spacing w:line="360" w:lineRule="auto"/>
        <w:rPr>
          <w:rFonts w:hint="eastAsia" w:ascii="仿宋" w:hAnsi="仿宋" w:eastAsia="仿宋" w:cs="仿宋"/>
          <w:b/>
          <w:caps w:val="0"/>
          <w:color w:val="auto"/>
          <w:sz w:val="24"/>
          <w:highlight w:val="none"/>
        </w:rPr>
      </w:pPr>
    </w:p>
    <w:p w14:paraId="674E9D3C">
      <w:pPr>
        <w:pStyle w:val="5"/>
        <w:numPr>
          <w:ilvl w:val="0"/>
          <w:numId w:val="1"/>
        </w:numPr>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供应商的资格要求:</w:t>
      </w:r>
      <w:bookmarkEnd w:id="6"/>
      <w:bookmarkEnd w:id="7"/>
    </w:p>
    <w:p w14:paraId="53AEB304">
      <w:pPr>
        <w:shd w:val="clear" w:color="auto" w:fill="FFFFFF"/>
        <w:adjustRightInd w:val="0"/>
        <w:snapToGrid w:val="0"/>
        <w:spacing w:line="360" w:lineRule="auto"/>
        <w:ind w:left="479" w:leftChars="228" w:firstLine="0" w:firstLineChars="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1.杭州市范围内具有</w:t>
      </w:r>
      <w:r>
        <w:rPr>
          <w:rFonts w:hint="eastAsia" w:ascii="仿宋" w:hAnsi="仿宋" w:eastAsia="仿宋" w:cs="仿宋"/>
          <w:b/>
          <w:snapToGrid/>
          <w:color w:val="000000"/>
          <w:kern w:val="2"/>
          <w:sz w:val="24"/>
          <w:szCs w:val="24"/>
          <w:lang w:val="en-US" w:eastAsia="zh-CN"/>
        </w:rPr>
        <w:t>超声波鼓泡洗菜池(多功能清洗机）</w:t>
      </w:r>
      <w:r>
        <w:rPr>
          <w:rFonts w:hint="eastAsia" w:ascii="仿宋" w:hAnsi="仿宋" w:eastAsia="仿宋" w:cs="仿宋"/>
          <w:caps w:val="0"/>
          <w:color w:val="auto"/>
          <w:spacing w:val="-2"/>
          <w:sz w:val="24"/>
          <w:highlight w:val="none"/>
          <w:lang w:val="en-US" w:eastAsia="zh-CN"/>
        </w:rPr>
        <w:t>采购</w:t>
      </w:r>
      <w:r>
        <w:rPr>
          <w:rFonts w:hint="eastAsia" w:ascii="仿宋" w:hAnsi="仿宋" w:eastAsia="仿宋" w:cs="仿宋"/>
          <w:caps w:val="0"/>
          <w:color w:val="auto"/>
          <w:spacing w:val="-2"/>
          <w:sz w:val="24"/>
          <w:highlight w:val="none"/>
        </w:rPr>
        <w:t>项目服务资质的单位；</w:t>
      </w:r>
      <w:r>
        <w:rPr>
          <w:rFonts w:hint="eastAsia" w:ascii="仿宋" w:hAnsi="仿宋" w:eastAsia="仿宋" w:cs="仿宋"/>
          <w:caps w:val="0"/>
          <w:color w:val="auto"/>
          <w:spacing w:val="-2"/>
          <w:sz w:val="24"/>
          <w:highlight w:val="none"/>
        </w:rPr>
        <w:br w:type="textWrapping"/>
      </w:r>
      <w:r>
        <w:rPr>
          <w:rFonts w:hint="eastAsia" w:ascii="仿宋" w:hAnsi="仿宋" w:eastAsia="仿宋" w:cs="仿宋"/>
          <w:caps w:val="0"/>
          <w:color w:val="auto"/>
          <w:spacing w:val="-2"/>
          <w:sz w:val="24"/>
          <w:highlight w:val="none"/>
        </w:rPr>
        <w:t>2.符合《中华人民共和国政府采购法》第二十二条的规定：</w:t>
      </w:r>
      <w:r>
        <w:rPr>
          <w:rFonts w:hint="eastAsia" w:ascii="仿宋" w:hAnsi="仿宋" w:eastAsia="仿宋" w:cs="仿宋"/>
          <w:caps w:val="0"/>
          <w:color w:val="auto"/>
          <w:spacing w:val="-2"/>
          <w:sz w:val="24"/>
          <w:highlight w:val="none"/>
        </w:rPr>
        <w:br w:type="textWrapping"/>
      </w:r>
      <w:r>
        <w:rPr>
          <w:rFonts w:hint="eastAsia" w:ascii="仿宋" w:hAnsi="仿宋" w:eastAsia="仿宋" w:cs="仿宋"/>
          <w:caps w:val="0"/>
          <w:color w:val="auto"/>
          <w:spacing w:val="-2"/>
          <w:sz w:val="24"/>
          <w:highlight w:val="none"/>
        </w:rPr>
        <w:t>（1）具有独立承担民事责任的能力；</w:t>
      </w:r>
    </w:p>
    <w:p w14:paraId="5C3AC12C">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（2）具有良好的商业信誉和健全的财务会计制度；</w:t>
      </w:r>
    </w:p>
    <w:p w14:paraId="29C7F734">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（3）具有履行合同所必需的设备和专业技术能力；</w:t>
      </w:r>
    </w:p>
    <w:p w14:paraId="583055B5">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（4）有依法缴纳税收和社会保障资金的良好记录；</w:t>
      </w:r>
    </w:p>
    <w:p w14:paraId="00E94632">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（5）参加采购活动前三年内，在经营活动中没有重大违法记录；</w:t>
      </w:r>
    </w:p>
    <w:p w14:paraId="25DA8AC5">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（6）法律、行政法规规定的其他条件。</w:t>
      </w:r>
    </w:p>
    <w:p w14:paraId="6C450754">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3.特定资格条件：本项目不接受联合体参加磋商，不可分包与转包。</w:t>
      </w:r>
    </w:p>
    <w:p w14:paraId="534DAA22">
      <w:pPr>
        <w:pStyle w:val="5"/>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lang w:val="en-US" w:eastAsia="zh-CN"/>
        </w:rPr>
        <w:t>六</w:t>
      </w:r>
      <w:r>
        <w:rPr>
          <w:rFonts w:hint="eastAsia" w:ascii="仿宋" w:hAnsi="仿宋" w:eastAsia="仿宋" w:cs="仿宋"/>
          <w:b/>
          <w:caps w:val="0"/>
          <w:color w:val="auto"/>
          <w:sz w:val="24"/>
          <w:highlight w:val="none"/>
        </w:rPr>
        <w:t>、提交响应文件时间、地点：</w:t>
      </w:r>
    </w:p>
    <w:p w14:paraId="26FAD3C8">
      <w:pPr>
        <w:pStyle w:val="5"/>
        <w:snapToGrid w:val="0"/>
        <w:spacing w:line="360" w:lineRule="auto"/>
        <w:ind w:firstLine="482" w:firstLineChars="200"/>
        <w:rPr>
          <w:rFonts w:hint="eastAsia" w:ascii="仿宋" w:hAnsi="仿宋" w:eastAsia="仿宋" w:cs="仿宋"/>
          <w:caps w:val="0"/>
          <w:color w:val="auto"/>
          <w:sz w:val="24"/>
          <w:highlight w:val="none"/>
        </w:rPr>
      </w:pPr>
      <w:r>
        <w:rPr>
          <w:rFonts w:hint="eastAsia" w:ascii="仿宋" w:hAnsi="仿宋" w:eastAsia="仿宋" w:cs="仿宋"/>
          <w:b/>
          <w:caps w:val="0"/>
          <w:color w:val="auto"/>
          <w:sz w:val="24"/>
          <w:highlight w:val="none"/>
        </w:rPr>
        <w:t>1.截止时间：</w:t>
      </w:r>
      <w:r>
        <w:rPr>
          <w:rFonts w:hint="eastAsia" w:ascii="仿宋" w:hAnsi="仿宋" w:eastAsia="仿宋" w:cs="仿宋"/>
          <w:caps w:val="0"/>
          <w:color w:val="auto"/>
          <w:kern w:val="0"/>
          <w:sz w:val="24"/>
          <w:szCs w:val="24"/>
          <w:highlight w:val="none"/>
        </w:rPr>
        <w:t>202</w:t>
      </w:r>
      <w:r>
        <w:rPr>
          <w:rFonts w:hint="eastAsia" w:ascii="仿宋" w:hAnsi="仿宋" w:eastAsia="仿宋" w:cs="仿宋"/>
          <w:caps w:val="0"/>
          <w:color w:val="auto"/>
          <w:kern w:val="0"/>
          <w:sz w:val="24"/>
          <w:szCs w:val="24"/>
          <w:highlight w:val="none"/>
          <w:lang w:val="en-US" w:eastAsia="zh-CN"/>
        </w:rPr>
        <w:t>5</w:t>
      </w:r>
      <w:r>
        <w:rPr>
          <w:rFonts w:hint="eastAsia" w:ascii="仿宋" w:hAnsi="仿宋" w:eastAsia="仿宋" w:cs="仿宋"/>
          <w:caps w:val="0"/>
          <w:color w:val="auto"/>
          <w:kern w:val="0"/>
          <w:sz w:val="24"/>
          <w:szCs w:val="24"/>
          <w:highlight w:val="none"/>
        </w:rPr>
        <w:t>年</w:t>
      </w:r>
      <w:r>
        <w:rPr>
          <w:rFonts w:hint="eastAsia" w:ascii="仿宋" w:hAnsi="仿宋" w:eastAsia="仿宋" w:cs="仿宋"/>
          <w:caps w:val="0"/>
          <w:color w:val="auto"/>
          <w:kern w:val="0"/>
          <w:sz w:val="24"/>
          <w:szCs w:val="24"/>
          <w:highlight w:val="none"/>
          <w:lang w:val="en-US" w:eastAsia="zh-CN"/>
        </w:rPr>
        <w:t xml:space="preserve">4 </w:t>
      </w:r>
      <w:r>
        <w:rPr>
          <w:rFonts w:hint="eastAsia" w:ascii="仿宋" w:hAnsi="仿宋" w:eastAsia="仿宋" w:cs="仿宋"/>
          <w:caps w:val="0"/>
          <w:color w:val="auto"/>
          <w:kern w:val="0"/>
          <w:sz w:val="24"/>
          <w:szCs w:val="24"/>
          <w:highlight w:val="none"/>
        </w:rPr>
        <w:t xml:space="preserve">月 </w:t>
      </w:r>
      <w:r>
        <w:rPr>
          <w:rFonts w:hint="eastAsia" w:ascii="仿宋" w:hAnsi="仿宋" w:eastAsia="仿宋" w:cs="仿宋"/>
          <w:caps w:val="0"/>
          <w:color w:val="auto"/>
          <w:kern w:val="0"/>
          <w:sz w:val="24"/>
          <w:szCs w:val="24"/>
          <w:highlight w:val="none"/>
          <w:lang w:val="en-US" w:eastAsia="zh-CN"/>
        </w:rPr>
        <w:t>28</w:t>
      </w:r>
      <w:r>
        <w:rPr>
          <w:rFonts w:hint="eastAsia" w:ascii="仿宋" w:hAnsi="仿宋" w:eastAsia="仿宋" w:cs="仿宋"/>
          <w:caps w:val="0"/>
          <w:color w:val="auto"/>
          <w:kern w:val="0"/>
          <w:sz w:val="24"/>
          <w:szCs w:val="24"/>
          <w:highlight w:val="none"/>
        </w:rPr>
        <w:t>日</w:t>
      </w:r>
      <w:r>
        <w:rPr>
          <w:rFonts w:hint="eastAsia" w:ascii="仿宋" w:hAnsi="仿宋" w:eastAsia="仿宋" w:cs="仿宋"/>
          <w:caps w:val="0"/>
          <w:color w:val="auto"/>
          <w:kern w:val="0"/>
          <w:sz w:val="24"/>
          <w:szCs w:val="24"/>
          <w:highlight w:val="none"/>
          <w:lang w:val="en-US" w:eastAsia="zh-CN"/>
        </w:rPr>
        <w:t>15</w:t>
      </w:r>
      <w:r>
        <w:rPr>
          <w:rFonts w:hint="eastAsia" w:ascii="仿宋" w:hAnsi="仿宋" w:eastAsia="仿宋" w:cs="仿宋"/>
          <w:caps w:val="0"/>
          <w:color w:val="auto"/>
          <w:kern w:val="0"/>
          <w:sz w:val="24"/>
          <w:szCs w:val="24"/>
          <w:highlight w:val="none"/>
        </w:rPr>
        <w:t>时00分（北京时间）</w:t>
      </w:r>
    </w:p>
    <w:p w14:paraId="3A87D799">
      <w:pPr>
        <w:pStyle w:val="5"/>
        <w:snapToGrid w:val="0"/>
        <w:spacing w:line="360" w:lineRule="auto"/>
        <w:ind w:firstLine="482" w:firstLineChars="200"/>
        <w:rPr>
          <w:rFonts w:hint="eastAsia" w:ascii="仿宋" w:hAnsi="仿宋" w:eastAsia="仿宋" w:cs="仿宋"/>
          <w:caps w:val="0"/>
          <w:color w:val="auto"/>
          <w:kern w:val="0"/>
          <w:sz w:val="24"/>
          <w:szCs w:val="24"/>
          <w:highlight w:val="none"/>
        </w:rPr>
      </w:pPr>
      <w:bookmarkStart w:id="8" w:name="_Toc171394912"/>
      <w:r>
        <w:rPr>
          <w:rFonts w:hint="eastAsia" w:ascii="仿宋" w:hAnsi="仿宋" w:eastAsia="仿宋" w:cs="仿宋"/>
          <w:b/>
          <w:caps w:val="0"/>
          <w:color w:val="auto"/>
          <w:sz w:val="24"/>
          <w:highlight w:val="none"/>
        </w:rPr>
        <w:t>2.递交地点：</w:t>
      </w:r>
      <w:r>
        <w:rPr>
          <w:rFonts w:hint="eastAsia" w:ascii="仿宋" w:hAnsi="仿宋" w:eastAsia="仿宋" w:cs="仿宋"/>
          <w:caps w:val="0"/>
          <w:color w:val="auto"/>
          <w:kern w:val="0"/>
          <w:sz w:val="24"/>
          <w:szCs w:val="24"/>
          <w:highlight w:val="none"/>
        </w:rPr>
        <w:t>浙江中医药大学附属第二医院7号楼</w:t>
      </w:r>
      <w:r>
        <w:rPr>
          <w:rFonts w:hint="eastAsia" w:ascii="仿宋" w:hAnsi="仿宋" w:eastAsia="仿宋" w:cs="仿宋"/>
          <w:caps w:val="0"/>
          <w:color w:val="auto"/>
          <w:kern w:val="0"/>
          <w:sz w:val="24"/>
          <w:szCs w:val="24"/>
          <w:highlight w:val="none"/>
          <w:lang w:val="en-US" w:eastAsia="zh-CN"/>
        </w:rPr>
        <w:t>301</w:t>
      </w:r>
      <w:r>
        <w:rPr>
          <w:rFonts w:hint="eastAsia" w:ascii="仿宋" w:hAnsi="仿宋" w:eastAsia="仿宋" w:cs="仿宋"/>
          <w:caps w:val="0"/>
          <w:color w:val="auto"/>
          <w:kern w:val="0"/>
          <w:sz w:val="24"/>
          <w:szCs w:val="24"/>
          <w:highlight w:val="none"/>
        </w:rPr>
        <w:t>室</w:t>
      </w:r>
    </w:p>
    <w:bookmarkEnd w:id="8"/>
    <w:p w14:paraId="52B590C1">
      <w:pPr>
        <w:pStyle w:val="5"/>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lang w:val="en-US" w:eastAsia="zh-CN"/>
        </w:rPr>
        <w:t>七</w:t>
      </w:r>
      <w:r>
        <w:rPr>
          <w:rFonts w:hint="eastAsia" w:ascii="仿宋" w:hAnsi="仿宋" w:eastAsia="仿宋" w:cs="仿宋"/>
          <w:b/>
          <w:caps w:val="0"/>
          <w:color w:val="auto"/>
          <w:sz w:val="24"/>
          <w:highlight w:val="none"/>
        </w:rPr>
        <w:t>、其他事项：</w:t>
      </w:r>
    </w:p>
    <w:p w14:paraId="05059C47">
      <w:pPr>
        <w:widowControl/>
        <w:adjustRightInd w:val="0"/>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bCs/>
          <w:caps w:val="0"/>
          <w:color w:val="auto"/>
          <w:sz w:val="24"/>
          <w:szCs w:val="24"/>
          <w:highlight w:val="none"/>
        </w:rPr>
        <w:t>1</w:t>
      </w:r>
      <w:r>
        <w:rPr>
          <w:rFonts w:hint="eastAsia" w:ascii="仿宋" w:hAnsi="仿宋" w:eastAsia="仿宋" w:cs="仿宋"/>
          <w:caps w:val="0"/>
          <w:color w:val="auto"/>
          <w:sz w:val="24"/>
          <w:highlight w:val="none"/>
        </w:rPr>
        <w:t>. 本项目为非政府采购项目</w:t>
      </w:r>
    </w:p>
    <w:p w14:paraId="0CCE1764">
      <w:pPr>
        <w:widowControl/>
        <w:adjustRightInd w:val="0"/>
        <w:snapToGrid w:val="0"/>
        <w:spacing w:line="360" w:lineRule="auto"/>
        <w:ind w:firstLine="480" w:firstLineChars="200"/>
        <w:jc w:val="left"/>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2. 本项目资格审查方式：资格后审。</w:t>
      </w:r>
    </w:p>
    <w:p w14:paraId="3BD096FB">
      <w:pPr>
        <w:widowControl/>
        <w:adjustRightInd w:val="0"/>
        <w:snapToGrid w:val="0"/>
        <w:spacing w:line="360" w:lineRule="auto"/>
        <w:ind w:firstLine="480" w:firstLineChars="200"/>
        <w:jc w:val="left"/>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3．联系方式：</w:t>
      </w:r>
    </w:p>
    <w:p w14:paraId="49C259CB">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采购人：浙江中医药大学附属第二医院</w:t>
      </w:r>
    </w:p>
    <w:p w14:paraId="2ACC831F">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地  点：杭州市拱墅区潮王路318号</w:t>
      </w:r>
    </w:p>
    <w:p w14:paraId="10C73002">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联系人：</w:t>
      </w:r>
      <w:r>
        <w:rPr>
          <w:rFonts w:hint="eastAsia" w:ascii="仿宋" w:hAnsi="仿宋" w:eastAsia="仿宋" w:cs="仿宋"/>
          <w:bCs/>
          <w:caps w:val="0"/>
          <w:color w:val="auto"/>
          <w:sz w:val="24"/>
          <w:szCs w:val="24"/>
          <w:highlight w:val="none"/>
          <w:lang w:val="en-US" w:eastAsia="zh-CN"/>
        </w:rPr>
        <w:t>高</w:t>
      </w:r>
      <w:r>
        <w:rPr>
          <w:rFonts w:hint="eastAsia" w:ascii="仿宋" w:hAnsi="仿宋" w:eastAsia="仿宋" w:cs="仿宋"/>
          <w:bCs/>
          <w:caps w:val="0"/>
          <w:color w:val="auto"/>
          <w:sz w:val="24"/>
          <w:szCs w:val="24"/>
          <w:highlight w:val="none"/>
        </w:rPr>
        <w:t>老师</w:t>
      </w:r>
    </w:p>
    <w:p w14:paraId="7A0DAF01">
      <w:pPr>
        <w:pStyle w:val="5"/>
        <w:snapToGrid w:val="0"/>
        <w:spacing w:line="360" w:lineRule="auto"/>
        <w:ind w:firstLine="480" w:firstLineChars="200"/>
        <w:rPr>
          <w:rFonts w:hint="eastAsia" w:ascii="仿宋" w:hAnsi="仿宋" w:eastAsia="仿宋" w:cs="仿宋"/>
          <w:bCs/>
          <w:caps w:val="0"/>
          <w:color w:val="auto"/>
          <w:sz w:val="24"/>
          <w:szCs w:val="24"/>
          <w:highlight w:val="none"/>
          <w:lang w:val="en-US" w:eastAsia="zh-CN"/>
        </w:rPr>
      </w:pPr>
      <w:r>
        <w:rPr>
          <w:rFonts w:hint="eastAsia" w:ascii="仿宋" w:hAnsi="仿宋" w:eastAsia="仿宋" w:cs="仿宋"/>
          <w:bCs/>
          <w:caps w:val="0"/>
          <w:color w:val="auto"/>
          <w:sz w:val="24"/>
          <w:szCs w:val="24"/>
          <w:highlight w:val="none"/>
        </w:rPr>
        <w:t>电  话：</w:t>
      </w:r>
      <w:r>
        <w:rPr>
          <w:rFonts w:hint="eastAsia" w:ascii="仿宋" w:hAnsi="仿宋" w:eastAsia="仿宋" w:cs="仿宋"/>
          <w:bCs/>
          <w:caps w:val="0"/>
          <w:color w:val="auto"/>
          <w:sz w:val="24"/>
          <w:szCs w:val="24"/>
          <w:highlight w:val="none"/>
          <w:lang w:val="en-US" w:eastAsia="zh-CN"/>
        </w:rPr>
        <w:t>13588822263</w:t>
      </w:r>
    </w:p>
    <w:p w14:paraId="254A81B5">
      <w:pPr>
        <w:pStyle w:val="5"/>
        <w:snapToGrid w:val="0"/>
        <w:spacing w:line="360" w:lineRule="auto"/>
        <w:ind w:firstLine="480" w:firstLineChars="200"/>
        <w:rPr>
          <w:rFonts w:hint="eastAsia" w:ascii="仿宋" w:hAnsi="仿宋" w:eastAsia="仿宋" w:cs="仿宋"/>
          <w:bCs/>
          <w:caps w:val="0"/>
          <w:color w:val="auto"/>
          <w:sz w:val="24"/>
          <w:szCs w:val="24"/>
          <w:highlight w:val="none"/>
        </w:rPr>
      </w:pPr>
    </w:p>
    <w:p w14:paraId="4AA0D29F">
      <w:pPr>
        <w:pStyle w:val="2"/>
        <w:snapToGrid w:val="0"/>
        <w:spacing w:before="240" w:after="240" w:line="240" w:lineRule="auto"/>
        <w:rPr>
          <w:rFonts w:hint="eastAsia" w:ascii="仿宋" w:hAnsi="仿宋" w:eastAsia="仿宋" w:cs="仿宋"/>
          <w:caps w:val="0"/>
          <w:color w:val="auto"/>
          <w:highlight w:val="none"/>
        </w:rPr>
      </w:pPr>
      <w:bookmarkStart w:id="9" w:name="_Toc171394913"/>
      <w:r>
        <w:rPr>
          <w:rFonts w:hint="eastAsia" w:ascii="仿宋" w:hAnsi="仿宋" w:eastAsia="仿宋" w:cs="仿宋"/>
          <w:caps w:val="0"/>
          <w:color w:val="auto"/>
          <w:sz w:val="24"/>
          <w:highlight w:val="none"/>
        </w:rPr>
        <w:br w:type="page"/>
      </w:r>
      <w:bookmarkEnd w:id="9"/>
      <w:bookmarkStart w:id="10" w:name="_Toc472544471"/>
      <w:bookmarkStart w:id="11" w:name="_Toc183786414"/>
      <w:bookmarkStart w:id="12" w:name="_Toc171394914"/>
      <w:bookmarkStart w:id="13" w:name="_Toc118516210"/>
      <w:r>
        <w:rPr>
          <w:rFonts w:hint="eastAsia" w:ascii="仿宋" w:hAnsi="仿宋" w:eastAsia="仿宋" w:cs="仿宋"/>
          <w:caps w:val="0"/>
          <w:color w:val="auto"/>
          <w:sz w:val="32"/>
          <w:highlight w:val="none"/>
        </w:rPr>
        <w:t>第二部分</w:t>
      </w:r>
      <w:r>
        <w:rPr>
          <w:rFonts w:hint="eastAsia" w:ascii="仿宋" w:hAnsi="仿宋" w:eastAsia="仿宋" w:cs="仿宋"/>
          <w:caps w:val="0"/>
          <w:color w:val="auto"/>
          <w:sz w:val="32"/>
          <w:highlight w:val="none"/>
          <w:lang w:val="en-US" w:eastAsia="zh-CN"/>
        </w:rPr>
        <w:t xml:space="preserve"> 招标</w:t>
      </w:r>
      <w:r>
        <w:rPr>
          <w:rFonts w:hint="eastAsia" w:ascii="仿宋" w:hAnsi="仿宋" w:eastAsia="仿宋" w:cs="仿宋"/>
          <w:caps w:val="0"/>
          <w:color w:val="auto"/>
          <w:sz w:val="32"/>
          <w:highlight w:val="none"/>
        </w:rPr>
        <w:t>须知</w:t>
      </w:r>
      <w:bookmarkEnd w:id="10"/>
      <w:bookmarkEnd w:id="11"/>
    </w:p>
    <w:p w14:paraId="690EF987">
      <w:pPr>
        <w:pStyle w:val="3"/>
        <w:spacing w:before="120" w:after="120" w:line="360" w:lineRule="auto"/>
        <w:rPr>
          <w:rFonts w:hint="eastAsia" w:ascii="仿宋" w:hAnsi="仿宋" w:eastAsia="仿宋" w:cs="仿宋"/>
          <w:b w:val="0"/>
          <w:caps w:val="0"/>
          <w:color w:val="auto"/>
          <w:highlight w:val="none"/>
        </w:rPr>
      </w:pPr>
      <w:bookmarkStart w:id="14" w:name="_Toc183786415"/>
      <w:bookmarkStart w:id="15" w:name="_Toc472544472"/>
      <w:r>
        <w:rPr>
          <w:rFonts w:hint="eastAsia" w:ascii="仿宋" w:hAnsi="仿宋" w:eastAsia="仿宋" w:cs="仿宋"/>
          <w:b w:val="0"/>
          <w:caps w:val="0"/>
          <w:color w:val="auto"/>
          <w:highlight w:val="none"/>
        </w:rPr>
        <w:t>一、总则</w:t>
      </w:r>
      <w:bookmarkEnd w:id="14"/>
      <w:bookmarkEnd w:id="15"/>
    </w:p>
    <w:p w14:paraId="695211A9">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1．适用范围</w:t>
      </w:r>
    </w:p>
    <w:p w14:paraId="54A3194D">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1.1本次</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工作仅适用于</w:t>
      </w:r>
      <w:r>
        <w:rPr>
          <w:rFonts w:hint="eastAsia" w:ascii="仿宋" w:hAnsi="仿宋" w:eastAsia="仿宋" w:cs="仿宋"/>
          <w:caps w:val="0"/>
          <w:color w:val="auto"/>
          <w:sz w:val="24"/>
          <w:highlight w:val="none"/>
          <w:lang w:val="en-US" w:eastAsia="zh-CN"/>
        </w:rPr>
        <w:t>2025年厨房超声波鼓泡洗菜池(多功能清洗机）采购项目</w:t>
      </w:r>
      <w:r>
        <w:rPr>
          <w:rFonts w:hint="eastAsia" w:ascii="仿宋" w:hAnsi="仿宋" w:eastAsia="仿宋" w:cs="仿宋"/>
          <w:caps w:val="0"/>
          <w:color w:val="auto"/>
          <w:sz w:val="24"/>
          <w:highlight w:val="none"/>
        </w:rPr>
        <w:t>。</w:t>
      </w:r>
    </w:p>
    <w:p w14:paraId="3FFF9E6A">
      <w:pPr>
        <w:adjustRightInd w:val="0"/>
        <w:spacing w:line="360" w:lineRule="auto"/>
        <w:ind w:firstLine="480" w:firstLineChars="200"/>
        <w:rPr>
          <w:rFonts w:hint="eastAsia" w:ascii="仿宋" w:hAnsi="仿宋" w:eastAsia="仿宋" w:cs="仿宋"/>
          <w:caps w:val="0"/>
          <w:color w:val="auto"/>
          <w:highlight w:val="none"/>
        </w:rPr>
      </w:pPr>
      <w:r>
        <w:rPr>
          <w:rFonts w:hint="eastAsia" w:ascii="仿宋" w:hAnsi="仿宋" w:eastAsia="仿宋" w:cs="仿宋"/>
          <w:caps w:val="0"/>
          <w:color w:val="auto"/>
          <w:sz w:val="24"/>
          <w:highlight w:val="none"/>
        </w:rPr>
        <w:t>1.2本项目采购方式采用</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方式。</w:t>
      </w:r>
    </w:p>
    <w:p w14:paraId="4F3B94FE">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2．定义</w:t>
      </w:r>
    </w:p>
    <w:p w14:paraId="65CE92B3">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2.1采购人系浙江中医药大学附属第二医院。</w:t>
      </w:r>
    </w:p>
    <w:p w14:paraId="3AF6071E">
      <w:pPr>
        <w:adjustRightInd w:val="0"/>
        <w:spacing w:line="360" w:lineRule="auto"/>
        <w:ind w:firstLine="480" w:firstLineChars="200"/>
        <w:rPr>
          <w:rFonts w:hint="eastAsia" w:ascii="仿宋" w:hAnsi="仿宋" w:eastAsia="仿宋" w:cs="仿宋"/>
          <w:caps w:val="0"/>
          <w:color w:val="auto"/>
          <w:sz w:val="24"/>
          <w:szCs w:val="24"/>
          <w:highlight w:val="none"/>
          <w:u w:val="single"/>
          <w:shd w:val="pct10" w:color="auto" w:fill="FFFFFF"/>
        </w:rPr>
      </w:pPr>
      <w:r>
        <w:rPr>
          <w:rFonts w:hint="eastAsia" w:ascii="仿宋" w:hAnsi="仿宋" w:eastAsia="仿宋" w:cs="仿宋"/>
          <w:caps w:val="0"/>
          <w:color w:val="auto"/>
          <w:sz w:val="24"/>
          <w:highlight w:val="none"/>
        </w:rPr>
        <w:t>2.2</w:t>
      </w:r>
      <w:r>
        <w:rPr>
          <w:rFonts w:hint="eastAsia" w:ascii="仿宋" w:hAnsi="仿宋" w:eastAsia="仿宋" w:cs="仿宋"/>
          <w:caps w:val="0"/>
          <w:color w:val="auto"/>
          <w:sz w:val="24"/>
          <w:szCs w:val="24"/>
          <w:highlight w:val="none"/>
        </w:rPr>
        <w:t>供应商：响应本次采购，参加本次</w:t>
      </w:r>
      <w:r>
        <w:rPr>
          <w:rFonts w:hint="eastAsia" w:ascii="仿宋" w:hAnsi="仿宋" w:eastAsia="仿宋" w:cs="仿宋"/>
          <w:caps w:val="0"/>
          <w:color w:val="auto"/>
          <w:sz w:val="24"/>
          <w:szCs w:val="24"/>
          <w:highlight w:val="none"/>
          <w:lang w:val="en-US" w:eastAsia="zh-CN"/>
        </w:rPr>
        <w:t>院内招标</w:t>
      </w:r>
      <w:r>
        <w:rPr>
          <w:rFonts w:hint="eastAsia" w:ascii="仿宋" w:hAnsi="仿宋" w:eastAsia="仿宋" w:cs="仿宋"/>
          <w:caps w:val="0"/>
          <w:color w:val="auto"/>
          <w:sz w:val="24"/>
          <w:szCs w:val="24"/>
          <w:highlight w:val="none"/>
        </w:rPr>
        <w:t>的供应商。</w:t>
      </w:r>
    </w:p>
    <w:p w14:paraId="2493A78A">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2.3货物：系指供应商按</w:t>
      </w:r>
      <w:r>
        <w:rPr>
          <w:rFonts w:hint="eastAsia" w:ascii="仿宋" w:hAnsi="仿宋" w:eastAsia="仿宋" w:cs="仿宋"/>
          <w:caps w:val="0"/>
          <w:color w:val="auto"/>
          <w:sz w:val="24"/>
          <w:szCs w:val="24"/>
          <w:highlight w:val="none"/>
          <w:lang w:val="en-US" w:eastAsia="zh-CN"/>
        </w:rPr>
        <w:t>招标</w:t>
      </w:r>
      <w:r>
        <w:rPr>
          <w:rFonts w:hint="eastAsia" w:ascii="仿宋" w:hAnsi="仿宋" w:eastAsia="仿宋" w:cs="仿宋"/>
          <w:caps w:val="0"/>
          <w:color w:val="auto"/>
          <w:sz w:val="24"/>
          <w:szCs w:val="24"/>
          <w:highlight w:val="none"/>
        </w:rPr>
        <w:t>文件或合同要求，须向采购人提供的一切材料、设备、机械、仪器、备件、配件、工具、手册及其他技术资料和文字材料。</w:t>
      </w:r>
    </w:p>
    <w:p w14:paraId="63677150">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2.4服务：系指采购文件或合同规定供应商须承担的设计、安装、调试、试运行、技术协助、培训、售后服务以及其他类似的义务。</w:t>
      </w:r>
    </w:p>
    <w:p w14:paraId="09AAA5AF">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2.5投标联合体：是指两个以上供应商组成联合体，以一个供应商的身份参加投标；</w:t>
      </w:r>
    </w:p>
    <w:p w14:paraId="433F9802">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3．采购项目概况</w:t>
      </w:r>
    </w:p>
    <w:p w14:paraId="1D0EFC0C">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详见</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公告相关内容。</w:t>
      </w:r>
    </w:p>
    <w:p w14:paraId="7A3D89E1">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4．合格的供应商</w:t>
      </w:r>
    </w:p>
    <w:p w14:paraId="5F3F91BB">
      <w:pPr>
        <w:adjustRightInd w:val="0"/>
        <w:spacing w:line="360" w:lineRule="auto"/>
        <w:ind w:firstLine="480" w:firstLineChars="200"/>
        <w:rPr>
          <w:rFonts w:hint="eastAsia" w:ascii="仿宋" w:hAnsi="仿宋" w:eastAsia="仿宋" w:cs="仿宋"/>
          <w:caps w:val="0"/>
          <w:color w:val="auto"/>
          <w:sz w:val="24"/>
          <w:highlight w:val="none"/>
        </w:rPr>
      </w:pPr>
      <w:bookmarkStart w:id="16" w:name="_Toc207946571"/>
      <w:bookmarkStart w:id="17" w:name="_Toc209520993"/>
      <w:bookmarkStart w:id="18" w:name="_Toc208287611"/>
      <w:bookmarkStart w:id="19" w:name="_Toc197657950"/>
      <w:bookmarkStart w:id="20" w:name="_Toc209435242"/>
      <w:bookmarkStart w:id="21" w:name="_Toc197163261"/>
      <w:bookmarkStart w:id="22" w:name="_Toc193538208"/>
      <w:bookmarkStart w:id="23" w:name="_Toc208913145"/>
      <w:bookmarkStart w:id="24" w:name="_Toc197156227"/>
      <w:bookmarkStart w:id="25" w:name="_Toc197053926"/>
      <w:bookmarkStart w:id="26" w:name="_Toc204683265"/>
      <w:bookmarkStart w:id="27" w:name="_Toc211412066"/>
      <w:bookmarkStart w:id="28" w:name="_Toc209504018"/>
      <w:bookmarkStart w:id="29" w:name="_Toc193523219"/>
      <w:r>
        <w:rPr>
          <w:rFonts w:hint="eastAsia" w:ascii="仿宋" w:hAnsi="仿宋" w:eastAsia="仿宋" w:cs="仿宋"/>
          <w:caps w:val="0"/>
          <w:color w:val="auto"/>
          <w:sz w:val="24"/>
          <w:highlight w:val="none"/>
        </w:rPr>
        <w:t>详见</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采购公告</w:t>
      </w:r>
      <w:r>
        <w:rPr>
          <w:rFonts w:hint="eastAsia" w:ascii="仿宋" w:hAnsi="仿宋" w:eastAsia="仿宋" w:cs="仿宋"/>
          <w:caps w:val="0"/>
          <w:color w:val="auto"/>
          <w:sz w:val="24"/>
          <w:highlight w:val="none"/>
          <w:lang w:eastAsia="zh-CN"/>
        </w:rPr>
        <w:t>的</w:t>
      </w:r>
      <w:r>
        <w:rPr>
          <w:rFonts w:hint="eastAsia" w:ascii="仿宋" w:hAnsi="仿宋" w:eastAsia="仿宋" w:cs="仿宋"/>
          <w:caps w:val="0"/>
          <w:color w:val="auto"/>
          <w:sz w:val="24"/>
          <w:highlight w:val="none"/>
        </w:rPr>
        <w:t>供应商资格要求规定。</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B59574D">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5．费用</w:t>
      </w:r>
    </w:p>
    <w:p w14:paraId="7E9C09DC">
      <w:pPr>
        <w:adjustRightInd w:val="0"/>
        <w:spacing w:line="360" w:lineRule="auto"/>
        <w:ind w:firstLine="480" w:firstLineChars="200"/>
        <w:rPr>
          <w:rFonts w:hint="eastAsia" w:ascii="仿宋" w:hAnsi="仿宋" w:eastAsia="仿宋" w:cs="仿宋"/>
          <w:caps w:val="0"/>
          <w:color w:val="auto"/>
          <w:sz w:val="24"/>
          <w:highlight w:val="none"/>
        </w:rPr>
      </w:pPr>
      <w:bookmarkStart w:id="30" w:name="_Toc183786416"/>
      <w:r>
        <w:rPr>
          <w:rFonts w:hint="eastAsia" w:ascii="仿宋" w:hAnsi="仿宋" w:eastAsia="仿宋" w:cs="仿宋"/>
          <w:caps w:val="0"/>
          <w:color w:val="auto"/>
          <w:sz w:val="24"/>
          <w:highlight w:val="none"/>
        </w:rPr>
        <w:t>供应商应承担其参加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所涉及的一切费用，不管结果如何，采购人对上述费用不负任何责任。</w:t>
      </w:r>
    </w:p>
    <w:p w14:paraId="5AA88FF3">
      <w:pPr>
        <w:pStyle w:val="3"/>
        <w:spacing w:before="120" w:after="120" w:line="360" w:lineRule="auto"/>
        <w:rPr>
          <w:rFonts w:hint="eastAsia" w:ascii="仿宋" w:hAnsi="仿宋" w:eastAsia="仿宋" w:cs="仿宋"/>
          <w:b w:val="0"/>
          <w:caps w:val="0"/>
          <w:color w:val="auto"/>
          <w:highlight w:val="none"/>
        </w:rPr>
      </w:pPr>
      <w:bookmarkStart w:id="31" w:name="_Toc472544473"/>
      <w:r>
        <w:rPr>
          <w:rFonts w:hint="eastAsia" w:ascii="仿宋" w:hAnsi="仿宋" w:eastAsia="仿宋" w:cs="仿宋"/>
          <w:b w:val="0"/>
          <w:caps w:val="0"/>
          <w:color w:val="auto"/>
          <w:highlight w:val="none"/>
        </w:rPr>
        <w:t>二、</w:t>
      </w:r>
      <w:bookmarkEnd w:id="30"/>
      <w:r>
        <w:rPr>
          <w:rFonts w:hint="eastAsia" w:ascii="仿宋" w:hAnsi="仿宋" w:eastAsia="仿宋" w:cs="仿宋"/>
          <w:b w:val="0"/>
          <w:caps w:val="0"/>
          <w:color w:val="auto"/>
          <w:highlight w:val="none"/>
          <w:lang w:val="en-US" w:eastAsia="zh-CN"/>
        </w:rPr>
        <w:t>院内招标</w:t>
      </w:r>
      <w:r>
        <w:rPr>
          <w:rFonts w:hint="eastAsia" w:ascii="仿宋" w:hAnsi="仿宋" w:eastAsia="仿宋" w:cs="仿宋"/>
          <w:b w:val="0"/>
          <w:caps w:val="0"/>
          <w:color w:val="auto"/>
          <w:highlight w:val="none"/>
        </w:rPr>
        <w:t>文件</w:t>
      </w:r>
      <w:bookmarkEnd w:id="31"/>
    </w:p>
    <w:p w14:paraId="3CC495F1">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6.</w:t>
      </w:r>
      <w:r>
        <w:rPr>
          <w:rFonts w:hint="eastAsia" w:ascii="仿宋" w:hAnsi="仿宋" w:eastAsia="仿宋" w:cs="仿宋"/>
          <w:b/>
          <w:caps w:val="0"/>
          <w:color w:val="auto"/>
          <w:sz w:val="24"/>
          <w:highlight w:val="none"/>
          <w:lang w:val="en-US" w:eastAsia="zh-CN"/>
        </w:rPr>
        <w:t>招标</w:t>
      </w:r>
      <w:r>
        <w:rPr>
          <w:rFonts w:hint="eastAsia" w:ascii="仿宋" w:hAnsi="仿宋" w:eastAsia="仿宋" w:cs="仿宋"/>
          <w:b/>
          <w:caps w:val="0"/>
          <w:color w:val="auto"/>
          <w:sz w:val="24"/>
          <w:highlight w:val="none"/>
        </w:rPr>
        <w:t>文件的组成</w:t>
      </w:r>
    </w:p>
    <w:p w14:paraId="6BD0298E">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6.1本</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文件包括目录所示内容及所有按本须知发出的补充资料。</w:t>
      </w:r>
    </w:p>
    <w:p w14:paraId="5B7FC274">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6.2除上述所列内容外，采购人的任何工作人员对供应商所作的任何口头解释、介绍、答复，只能供应商参考，对采购人和供应商无任何约束力。</w:t>
      </w:r>
    </w:p>
    <w:p w14:paraId="7004B72B">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6.3供应商应仔细阅读</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文件的所有内容，按照文件要求提交响应文件，并保证所提交的全部资料的真实性。不按</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文件的要求提供的响应文件和资料，可能导致被拒绝。</w:t>
      </w:r>
    </w:p>
    <w:p w14:paraId="70290FFC">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6.4</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文件是</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过程进行的有效依据，也是成交后签订合同的依据，对双方均具有约束力，凡不遵守</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文件规定或对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文件的实质性内容不响应的报价，将可能被拒绝或以无效标处理。本</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文件由采购人进行解释。</w:t>
      </w:r>
    </w:p>
    <w:p w14:paraId="41D597B4">
      <w:pPr>
        <w:adjustRightInd w:val="0"/>
        <w:spacing w:line="360" w:lineRule="auto"/>
        <w:ind w:firstLine="472" w:firstLineChars="196"/>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7．</w:t>
      </w:r>
      <w:r>
        <w:rPr>
          <w:rFonts w:hint="eastAsia" w:ascii="仿宋" w:hAnsi="仿宋" w:eastAsia="仿宋" w:cs="仿宋"/>
          <w:b/>
          <w:caps w:val="0"/>
          <w:color w:val="auto"/>
          <w:sz w:val="24"/>
          <w:highlight w:val="none"/>
          <w:lang w:val="en-US" w:eastAsia="zh-CN"/>
        </w:rPr>
        <w:t>招标</w:t>
      </w:r>
      <w:r>
        <w:rPr>
          <w:rFonts w:hint="eastAsia" w:ascii="仿宋" w:hAnsi="仿宋" w:eastAsia="仿宋" w:cs="仿宋"/>
          <w:b/>
          <w:caps w:val="0"/>
          <w:color w:val="auto"/>
          <w:sz w:val="24"/>
          <w:highlight w:val="none"/>
        </w:rPr>
        <w:t>文件的澄清与修改</w:t>
      </w:r>
    </w:p>
    <w:p w14:paraId="64479C23">
      <w:pPr>
        <w:pStyle w:val="4"/>
        <w:ind w:firstLine="480" w:firstLineChars="200"/>
        <w:rPr>
          <w:rFonts w:hint="eastAsia" w:ascii="仿宋" w:hAnsi="仿宋" w:eastAsia="仿宋" w:cs="仿宋"/>
          <w:caps w:val="0"/>
          <w:color w:val="auto"/>
          <w:highlight w:val="none"/>
        </w:rPr>
      </w:pPr>
      <w:bookmarkStart w:id="32" w:name="_Toc183786417"/>
      <w:r>
        <w:rPr>
          <w:rFonts w:hint="eastAsia" w:ascii="仿宋" w:hAnsi="仿宋" w:eastAsia="仿宋" w:cs="仿宋"/>
          <w:caps w:val="0"/>
          <w:color w:val="auto"/>
          <w:highlight w:val="none"/>
        </w:rPr>
        <w:t>7.1供应商在收到</w:t>
      </w:r>
      <w:r>
        <w:rPr>
          <w:rFonts w:hint="eastAsia" w:ascii="仿宋" w:hAnsi="仿宋" w:eastAsia="仿宋" w:cs="仿宋"/>
          <w:caps w:val="0"/>
          <w:color w:val="auto"/>
          <w:highlight w:val="none"/>
          <w:lang w:eastAsia="zh-CN"/>
        </w:rPr>
        <w:t>招标</w:t>
      </w:r>
      <w:r>
        <w:rPr>
          <w:rFonts w:hint="eastAsia" w:ascii="仿宋" w:hAnsi="仿宋" w:eastAsia="仿宋" w:cs="仿宋"/>
          <w:caps w:val="0"/>
          <w:color w:val="auto"/>
          <w:highlight w:val="none"/>
        </w:rPr>
        <w:t>文件后，若有问题需要澄清或认为有必要与采购人进行技术交流，应于前附表规定时间前，</w:t>
      </w:r>
      <w:r>
        <w:rPr>
          <w:rFonts w:hint="eastAsia" w:ascii="仿宋" w:hAnsi="仿宋" w:eastAsia="仿宋" w:cs="仿宋"/>
          <w:caps w:val="0"/>
          <w:color w:val="auto"/>
          <w:highlight w:val="none"/>
          <w:lang w:val="zh-CN"/>
        </w:rPr>
        <w:t>截止期后的疑问将不予受理、答复。</w:t>
      </w:r>
    </w:p>
    <w:p w14:paraId="6A32EAB8">
      <w:pPr>
        <w:pStyle w:val="4"/>
        <w:ind w:right="-252" w:rightChars="-120" w:firstLine="480" w:firstLineChars="200"/>
        <w:rPr>
          <w:rFonts w:hint="eastAsia" w:ascii="仿宋" w:hAnsi="仿宋" w:eastAsia="仿宋" w:cs="仿宋"/>
          <w:caps w:val="0"/>
          <w:color w:val="auto"/>
          <w:highlight w:val="none"/>
        </w:rPr>
      </w:pPr>
      <w:r>
        <w:rPr>
          <w:rFonts w:hint="eastAsia" w:ascii="仿宋" w:hAnsi="仿宋" w:eastAsia="仿宋" w:cs="仿宋"/>
          <w:caps w:val="0"/>
          <w:color w:val="auto"/>
          <w:highlight w:val="none"/>
        </w:rPr>
        <w:t>7.2供应商要求解释或澄清的问题应以书面形式，并加盖公章、写明日期。</w:t>
      </w:r>
    </w:p>
    <w:p w14:paraId="1E40C8AD">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7.3提交首次响应文件截止之日前，采购人或者</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小组可以对已发出的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文件进行必要的澄清或者修改，澄清或者修改的内容作为</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文件的组成部分。</w:t>
      </w:r>
    </w:p>
    <w:p w14:paraId="018F7151">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7.4</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文件的澄清修改文件，通知所有获取</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文件的供应商，并对其具有约束力。供应商在收到上述通知后，应立即向采购</w:t>
      </w:r>
      <w:r>
        <w:rPr>
          <w:rFonts w:hint="eastAsia" w:ascii="仿宋" w:hAnsi="仿宋" w:eastAsia="仿宋" w:cs="仿宋"/>
          <w:caps w:val="0"/>
          <w:color w:val="auto"/>
          <w:sz w:val="24"/>
          <w:highlight w:val="none"/>
          <w:lang w:eastAsia="zh-CN"/>
        </w:rPr>
        <w:t>人</w:t>
      </w:r>
      <w:r>
        <w:rPr>
          <w:rFonts w:hint="eastAsia" w:ascii="仿宋" w:hAnsi="仿宋" w:eastAsia="仿宋" w:cs="仿宋"/>
          <w:caps w:val="0"/>
          <w:color w:val="auto"/>
          <w:sz w:val="24"/>
          <w:highlight w:val="none"/>
        </w:rPr>
        <w:t>回函确认。</w:t>
      </w:r>
    </w:p>
    <w:p w14:paraId="44FA506E">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7.5澄清或者修改的内容可能影响响应文件编制的，采购人将在提交首次响应文件截止时间至少5日前，以书面形式通知所有获取</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文件的供应商；不足5日的，采购人可能会顺延提交首次响应文件截止时间。澄清或者修改的内容未对原</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文件作出重大修改或不会影响响应文件编制的，递交首次响应文件截止时间不变。</w:t>
      </w:r>
    </w:p>
    <w:p w14:paraId="044FA67B">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7.6</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文件澄清、答复、修改、补充的内容为</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文件的组成部分。</w:t>
      </w:r>
    </w:p>
    <w:p w14:paraId="46954904">
      <w:pPr>
        <w:adjustRightInd w:val="0"/>
        <w:spacing w:line="360" w:lineRule="auto"/>
        <w:ind w:firstLine="480" w:firstLineChars="200"/>
        <w:rPr>
          <w:rFonts w:hint="eastAsia" w:ascii="仿宋" w:hAnsi="仿宋" w:eastAsia="仿宋" w:cs="仿宋"/>
          <w:caps w:val="0"/>
          <w:color w:val="auto"/>
          <w:sz w:val="24"/>
          <w:highlight w:val="none"/>
        </w:rPr>
      </w:pPr>
    </w:p>
    <w:p w14:paraId="12CAF400">
      <w:pPr>
        <w:pStyle w:val="3"/>
        <w:spacing w:before="120" w:after="120" w:line="360" w:lineRule="auto"/>
        <w:rPr>
          <w:rFonts w:hint="eastAsia" w:ascii="仿宋" w:hAnsi="仿宋" w:eastAsia="仿宋" w:cs="仿宋"/>
          <w:b w:val="0"/>
          <w:caps w:val="0"/>
          <w:color w:val="auto"/>
          <w:highlight w:val="none"/>
        </w:rPr>
      </w:pPr>
      <w:bookmarkStart w:id="33" w:name="_Toc472544474"/>
      <w:r>
        <w:rPr>
          <w:rFonts w:hint="eastAsia" w:ascii="仿宋" w:hAnsi="仿宋" w:eastAsia="仿宋" w:cs="仿宋"/>
          <w:b w:val="0"/>
          <w:caps w:val="0"/>
          <w:color w:val="auto"/>
          <w:highlight w:val="none"/>
        </w:rPr>
        <w:t>三、响应文件</w:t>
      </w:r>
      <w:bookmarkEnd w:id="32"/>
      <w:r>
        <w:rPr>
          <w:rFonts w:hint="eastAsia" w:ascii="仿宋" w:hAnsi="仿宋" w:eastAsia="仿宋" w:cs="仿宋"/>
          <w:b w:val="0"/>
          <w:caps w:val="0"/>
          <w:color w:val="auto"/>
          <w:highlight w:val="none"/>
        </w:rPr>
        <w:t>编制要求</w:t>
      </w:r>
      <w:bookmarkEnd w:id="33"/>
    </w:p>
    <w:p w14:paraId="08C9A0B9">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8．响应文件的组成</w:t>
      </w:r>
    </w:p>
    <w:p w14:paraId="2D32C58C">
      <w:pPr>
        <w:autoSpaceDE w:val="0"/>
        <w:autoSpaceDN w:val="0"/>
        <w:spacing w:line="360" w:lineRule="auto"/>
        <w:ind w:firstLine="57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向采购人递交的书面响应文件（以下简称响应文件）由报价文件、资信和商务技术文件两部分组成，具体如下：</w:t>
      </w:r>
    </w:p>
    <w:p w14:paraId="3553B51C">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8.1报价文件</w:t>
      </w:r>
    </w:p>
    <w:p w14:paraId="35B33D4C">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响应初始报价一览表；</w:t>
      </w:r>
    </w:p>
    <w:p w14:paraId="3E150C90">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（2）</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响应报价明细表；</w:t>
      </w:r>
    </w:p>
    <w:p w14:paraId="2A6BFED4">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（3）</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认为需要提供的其他文件及资料。</w:t>
      </w:r>
    </w:p>
    <w:p w14:paraId="69F6C5E3">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8.2资信和商务技术文件</w:t>
      </w:r>
    </w:p>
    <w:p w14:paraId="21B652A5">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内容可以是资料，图表或说明，必须包含但不仅限于以下内容：</w:t>
      </w:r>
    </w:p>
    <w:p w14:paraId="3608718E">
      <w:pPr>
        <w:adjustRightInd w:val="0"/>
        <w:snapToGrid w:val="0"/>
        <w:spacing w:line="360" w:lineRule="auto"/>
        <w:ind w:firstLine="547" w:firstLineChars="228"/>
        <w:rPr>
          <w:rFonts w:hint="eastAsia" w:ascii="仿宋" w:hAnsi="仿宋" w:eastAsia="仿宋" w:cs="仿宋"/>
          <w:caps w:val="0"/>
          <w:color w:val="auto"/>
          <w:sz w:val="24"/>
          <w:highlight w:val="none"/>
        </w:rPr>
      </w:pPr>
      <w:bookmarkStart w:id="34" w:name="_Hlk514025268"/>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响应函；</w:t>
      </w:r>
    </w:p>
    <w:p w14:paraId="596573EB">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（3）法定代表人资格证明书及法定代表人授权书，同时须附法定代表人和授权委托代表的有效身份证复印件（法定代表人直接参加投标并对相应文件签字的，只需提供前者）；</w:t>
      </w:r>
    </w:p>
    <w:p w14:paraId="01483EAF">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（4）以下资格证明材料</w:t>
      </w:r>
    </w:p>
    <w:p w14:paraId="46249CAE">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1）符合</w:t>
      </w:r>
      <w:r>
        <w:rPr>
          <w:rFonts w:hint="eastAsia" w:ascii="仿宋" w:hAnsi="仿宋" w:eastAsia="仿宋" w:cs="仿宋"/>
          <w:caps w:val="0"/>
          <w:color w:val="auto"/>
          <w:kern w:val="0"/>
          <w:sz w:val="24"/>
          <w:highlight w:val="none"/>
        </w:rPr>
        <w:t>投标人资格要求</w:t>
      </w:r>
      <w:r>
        <w:rPr>
          <w:rFonts w:hint="eastAsia" w:ascii="仿宋" w:hAnsi="仿宋" w:eastAsia="仿宋" w:cs="仿宋"/>
          <w:caps w:val="0"/>
          <w:color w:val="auto"/>
          <w:sz w:val="24"/>
          <w:highlight w:val="none"/>
        </w:rPr>
        <w:t>的相关证明材料；</w:t>
      </w:r>
    </w:p>
    <w:p w14:paraId="31B7202D">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各投标人须在投标文件中出具对应证明材料。</w:t>
      </w:r>
    </w:p>
    <w:p w14:paraId="3EEECE1C">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a.具有独立承担民事责任能力的证明材料；</w:t>
      </w:r>
    </w:p>
    <w:p w14:paraId="28B633B2">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投标人须在投标文件中出具符合以下情况的证明材料复印件（五选一）：</w:t>
      </w:r>
    </w:p>
    <w:p w14:paraId="421BD77A">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①　如投标人是企业（包括合伙企业），提供在工商部门注册的有效“企业法人营业执照”或“营业执照”；</w:t>
      </w:r>
    </w:p>
    <w:p w14:paraId="0C17CA8F">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②　如投标人是事业单位，提供有效的“事业单位法人证书”；</w:t>
      </w:r>
    </w:p>
    <w:p w14:paraId="56A2FCD6">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③　如投标人是非企业专业服务机构的，提供执业许可证等证明文件；</w:t>
      </w:r>
    </w:p>
    <w:p w14:paraId="462AFA8C">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④　如投标人是个体工商户，提供有效的“个体工商户营业执照”；</w:t>
      </w:r>
    </w:p>
    <w:p w14:paraId="09FED67A">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⑤　如投标人是自然人，提供有效的自然人身份证明（居民身份证正反面或公安机关出具的临时居民身份证正反面或港澳台胞证或护照）。</w:t>
      </w:r>
    </w:p>
    <w:p w14:paraId="237F60C6">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4E14253">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b.符合参与采购活动资格条件的承诺函；</w:t>
      </w:r>
    </w:p>
    <w:p w14:paraId="0314F824">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c.商业信誉：</w:t>
      </w:r>
    </w:p>
    <w:p w14:paraId="2B18185E">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5C868A94">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对列入失信被执行人、重大税收违法案件当事人名单、政府采购严重违法失信行为记录名单的投标人，其投标将作无效标处理。</w:t>
      </w:r>
    </w:p>
    <w:p w14:paraId="5163163B">
      <w:pPr>
        <w:adjustRightInd w:val="0"/>
        <w:snapToGrid w:val="0"/>
        <w:spacing w:line="360" w:lineRule="auto"/>
        <w:ind w:firstLine="547" w:firstLineChars="228"/>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2）特定资格条件：</w:t>
      </w:r>
      <w:r>
        <w:rPr>
          <w:rFonts w:hint="eastAsia" w:ascii="仿宋" w:hAnsi="仿宋" w:eastAsia="仿宋" w:cs="仿宋"/>
          <w:caps w:val="0"/>
          <w:color w:val="auto"/>
          <w:sz w:val="24"/>
          <w:highlight w:val="none"/>
        </w:rPr>
        <w:t>无；</w:t>
      </w:r>
    </w:p>
    <w:p w14:paraId="71B0174C">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（5）廉政承诺书。</w:t>
      </w:r>
    </w:p>
    <w:p w14:paraId="18C866CD">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响应供应商基本情况表及简介。</w:t>
      </w:r>
    </w:p>
    <w:p w14:paraId="387512DB">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响应供应商拥有的其它资质、荣誉证书情况表及相关材料（如有）；</w:t>
      </w:r>
    </w:p>
    <w:p w14:paraId="5E1DA22D">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（8）业绩：供应商202</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年1月1日以来（以签订的合同时间为准）的</w:t>
      </w:r>
      <w:r>
        <w:rPr>
          <w:rFonts w:hint="eastAsia" w:ascii="仿宋" w:hAnsi="仿宋" w:eastAsia="仿宋" w:cs="仿宋"/>
          <w:caps w:val="0"/>
          <w:color w:val="auto"/>
          <w:sz w:val="24"/>
          <w:szCs w:val="24"/>
          <w:highlight w:val="none"/>
        </w:rPr>
        <w:t>完成过的机关事业单位</w:t>
      </w:r>
      <w:r>
        <w:rPr>
          <w:rFonts w:hint="eastAsia" w:ascii="仿宋" w:hAnsi="仿宋" w:eastAsia="仿宋" w:cs="仿宋"/>
          <w:i w:val="0"/>
          <w:iCs w:val="0"/>
          <w:caps w:val="0"/>
          <w:color w:val="auto"/>
          <w:kern w:val="0"/>
          <w:sz w:val="24"/>
          <w:szCs w:val="24"/>
          <w:highlight w:val="none"/>
          <w:u w:val="none"/>
          <w:lang w:val="en-US" w:eastAsia="zh-CN" w:bidi="ar"/>
        </w:rPr>
        <w:t>同类型</w:t>
      </w:r>
      <w:r>
        <w:rPr>
          <w:rFonts w:hint="eastAsia" w:ascii="仿宋" w:hAnsi="仿宋" w:eastAsia="仿宋" w:cs="仿宋"/>
          <w:caps w:val="0"/>
          <w:color w:val="auto"/>
          <w:sz w:val="24"/>
          <w:szCs w:val="24"/>
          <w:highlight w:val="none"/>
        </w:rPr>
        <w:t>项目</w:t>
      </w:r>
      <w:r>
        <w:rPr>
          <w:rFonts w:hint="eastAsia" w:ascii="仿宋" w:hAnsi="仿宋" w:eastAsia="仿宋" w:cs="仿宋"/>
          <w:caps w:val="0"/>
          <w:color w:val="auto"/>
          <w:sz w:val="24"/>
          <w:highlight w:val="none"/>
        </w:rPr>
        <w:t>业绩情况，提供合同复印件并加盖公章；</w:t>
      </w:r>
    </w:p>
    <w:bookmarkEnd w:id="34"/>
    <w:p w14:paraId="0D221A81">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（9）采购需求响应表</w:t>
      </w:r>
    </w:p>
    <w:p w14:paraId="27FD5085">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（10）技术方案，内容可以是资料，图表或说明，包含但不仅限于以下内容：</w:t>
      </w:r>
    </w:p>
    <w:p w14:paraId="2027E98D">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a.</w:t>
      </w:r>
      <w:r>
        <w:rPr>
          <w:rFonts w:hint="eastAsia" w:ascii="仿宋" w:hAnsi="仿宋" w:eastAsia="仿宋" w:cs="仿宋"/>
          <w:caps w:val="0"/>
          <w:color w:val="auto"/>
          <w:sz w:val="24"/>
          <w:szCs w:val="24"/>
          <w:highlight w:val="none"/>
        </w:rPr>
        <w:t>供应商管理制度；</w:t>
      </w:r>
    </w:p>
    <w:p w14:paraId="40BCBDBB">
      <w:pPr>
        <w:adjustRightInd w:val="0"/>
        <w:snapToGrid w:val="0"/>
        <w:spacing w:line="360" w:lineRule="auto"/>
        <w:ind w:firstLine="547" w:firstLineChars="228"/>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highlight w:val="none"/>
        </w:rPr>
        <w:t>b.</w:t>
      </w:r>
      <w:r>
        <w:rPr>
          <w:rFonts w:hint="eastAsia" w:ascii="仿宋" w:hAnsi="仿宋" w:eastAsia="仿宋" w:cs="仿宋"/>
          <w:caps w:val="0"/>
          <w:color w:val="auto"/>
          <w:sz w:val="24"/>
          <w:szCs w:val="24"/>
          <w:highlight w:val="none"/>
        </w:rPr>
        <w:t>项目实施方案；</w:t>
      </w:r>
    </w:p>
    <w:p w14:paraId="1F937D86">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c.</w:t>
      </w:r>
      <w:r>
        <w:rPr>
          <w:rFonts w:hint="eastAsia" w:ascii="仿宋" w:hAnsi="仿宋" w:eastAsia="仿宋" w:cs="仿宋"/>
          <w:caps w:val="0"/>
          <w:color w:val="auto"/>
          <w:sz w:val="24"/>
          <w:szCs w:val="24"/>
          <w:highlight w:val="none"/>
        </w:rPr>
        <w:t>投标配置清单；</w:t>
      </w:r>
    </w:p>
    <w:p w14:paraId="37B2266A">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d.货物品质保证措施；</w:t>
      </w:r>
    </w:p>
    <w:p w14:paraId="40E3E0F8">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e.</w:t>
      </w:r>
      <w:r>
        <w:rPr>
          <w:rFonts w:hint="eastAsia" w:ascii="仿宋" w:hAnsi="仿宋" w:eastAsia="仿宋" w:cs="仿宋"/>
          <w:caps w:val="0"/>
          <w:color w:val="auto"/>
          <w:sz w:val="24"/>
          <w:szCs w:val="24"/>
          <w:highlight w:val="none"/>
        </w:rPr>
        <w:t>供货配送方案；</w:t>
      </w:r>
    </w:p>
    <w:p w14:paraId="3F594ECC">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f.</w:t>
      </w:r>
      <w:r>
        <w:rPr>
          <w:rFonts w:hint="eastAsia" w:ascii="仿宋" w:hAnsi="仿宋" w:eastAsia="仿宋" w:cs="仿宋"/>
          <w:caps w:val="0"/>
          <w:color w:val="auto"/>
          <w:sz w:val="24"/>
          <w:szCs w:val="24"/>
          <w:highlight w:val="none"/>
        </w:rPr>
        <w:t>应急预案及处理方案；</w:t>
      </w:r>
    </w:p>
    <w:p w14:paraId="6C3C5475">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g.针对本项目实施的其他建议及优惠条件。</w:t>
      </w:r>
    </w:p>
    <w:p w14:paraId="4E1ED71B">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（11）关于对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文件中有关条款的拒绝声明。（如有）</w:t>
      </w:r>
    </w:p>
    <w:p w14:paraId="6156B0D1">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（12）</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响应供应商认为需要提供的其它文件及资料。</w:t>
      </w:r>
    </w:p>
    <w:p w14:paraId="08303A9D">
      <w:pPr>
        <w:autoSpaceDE w:val="0"/>
        <w:autoSpaceDN w:val="0"/>
        <w:adjustRightInd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注：以上内容为复印件的应加盖</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公章，附件中有参考格式的，参照格式，没有参考格式的，</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根据</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文件要求自行编制。</w:t>
      </w:r>
    </w:p>
    <w:p w14:paraId="6CFB9246">
      <w:pPr>
        <w:tabs>
          <w:tab w:val="left" w:pos="900"/>
        </w:tabs>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8.3</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货币</w:t>
      </w:r>
    </w:p>
    <w:p w14:paraId="78CB1B13">
      <w:pPr>
        <w:autoSpaceDE w:val="0"/>
        <w:autoSpaceDN w:val="0"/>
        <w:snapToGrid w:val="0"/>
        <w:spacing w:line="360" w:lineRule="auto"/>
        <w:ind w:firstLine="470" w:firstLineChars="196"/>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本次</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项目货币为人民币。</w:t>
      </w:r>
    </w:p>
    <w:p w14:paraId="398CA8BC">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8.4 </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应仔细阅读</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文件中的所有内容，按照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文件的相关要求，详细编制响应文件，并保证响应文件的正确性和真实性，</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如与</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文件商务、合同条款及技术各项要求有偏离，应填写《商务（合同或技术）条款偏离表》，如有好的建议，应填写《建议书》。</w:t>
      </w:r>
    </w:p>
    <w:p w14:paraId="31D80D23">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8.5 不按</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文件的要求提供的响应文件可能导致被拒绝。</w:t>
      </w:r>
    </w:p>
    <w:p w14:paraId="369F831D">
      <w:pPr>
        <w:snapToGrid w:val="0"/>
        <w:spacing w:line="360" w:lineRule="auto"/>
        <w:ind w:left="48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9．报价要求</w:t>
      </w:r>
    </w:p>
    <w:p w14:paraId="766A5332">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bookmarkStart w:id="35" w:name="_Hlk514025443"/>
      <w:r>
        <w:rPr>
          <w:rFonts w:hint="eastAsia" w:ascii="仿宋" w:hAnsi="仿宋" w:eastAsia="仿宋" w:cs="仿宋"/>
          <w:caps w:val="0"/>
          <w:color w:val="auto"/>
          <w:sz w:val="24"/>
          <w:highlight w:val="none"/>
        </w:rPr>
        <w:t>9.1 本次报价应包括本项目整个服务期所需的一切货物、人工、工具、设备、保险、售后服务、交通运输、利润、税金（包含须由投标人承担的各种税费）、其它需投标人承担的费用及潜在可能涉及的一切费用。未计入报价而应该发生的费用的，视为已含在其他分项投标报价中。投标人应认真计算可能发生的各相关费用并计入投标报价内，在项目实施过程中不得藉此要求增加任何费用。</w:t>
      </w:r>
    </w:p>
    <w:p w14:paraId="750D588C">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如上述没有提及但该项目仍需要的内容，请投标人自行考虑一并计入投标报价中（未计入的，视为投标人的优惠）。</w:t>
      </w:r>
    </w:p>
    <w:bookmarkEnd w:id="35"/>
    <w:p w14:paraId="524717E4">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9.2  </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文件内所要采购的全部内容进行报价，只投其中部分内容者，其响应文件将被拒绝。</w:t>
      </w:r>
    </w:p>
    <w:p w14:paraId="1ECD1382">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9.3  </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内容只允许一个报价，采购人不接受任何有选择性的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报价。</w:t>
      </w:r>
    </w:p>
    <w:p w14:paraId="12480B6D">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9.</w:t>
      </w:r>
      <w:r>
        <w:rPr>
          <w:rFonts w:hint="eastAsia" w:ascii="仿宋" w:hAnsi="仿宋" w:eastAsia="仿宋" w:cs="仿宋"/>
          <w:caps w:val="0"/>
          <w:color w:val="auto"/>
          <w:sz w:val="24"/>
          <w:highlight w:val="none"/>
          <w:lang w:val="en-US" w:eastAsia="zh-CN"/>
        </w:rPr>
        <w:t>4</w:t>
      </w:r>
      <w:r>
        <w:rPr>
          <w:rFonts w:hint="eastAsia" w:ascii="仿宋" w:hAnsi="仿宋" w:eastAsia="仿宋" w:cs="仿宋"/>
          <w:caps w:val="0"/>
          <w:color w:val="auto"/>
          <w:sz w:val="24"/>
          <w:highlight w:val="none"/>
        </w:rPr>
        <w:t xml:space="preserve">  </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过程中所发生的一切费用均包含在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总价中。</w:t>
      </w:r>
    </w:p>
    <w:p w14:paraId="473A314B">
      <w:pPr>
        <w:snapToGrid w:val="0"/>
        <w:spacing w:line="360" w:lineRule="auto"/>
        <w:ind w:firstLine="482" w:firstLineChars="200"/>
        <w:rPr>
          <w:rFonts w:hint="eastAsia" w:ascii="仿宋" w:hAnsi="仿宋" w:eastAsia="仿宋" w:cs="仿宋"/>
          <w:b/>
          <w:caps w:val="0"/>
          <w:color w:val="auto"/>
          <w:sz w:val="24"/>
          <w:highlight w:val="none"/>
        </w:rPr>
      </w:pPr>
      <w:bookmarkStart w:id="36" w:name="_Toc183786418"/>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．响应文件的规定</w:t>
      </w:r>
    </w:p>
    <w:p w14:paraId="2175291D">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.1每份响应文件应装订成册，其中报价文件必须单独密封。资信和商务技术文件一册或视文件厚薄分成多册。</w:t>
      </w:r>
    </w:p>
    <w:p w14:paraId="218BB9E1">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投标文件的报价文件与资信和商务技术文件分别单独密封，互不包含。否则如开、评技术标时，发生价格报价泄露的情况，由投标人自行承担相关责任。</w:t>
      </w:r>
    </w:p>
    <w:p w14:paraId="12AD1E8F">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响应文件建议采用胶装（粘贴方式装订），不建议采用活页夹等可随时拆换的方式装订。</w:t>
      </w:r>
    </w:p>
    <w:p w14:paraId="1991DF89">
      <w:pPr>
        <w:tabs>
          <w:tab w:val="left" w:pos="628"/>
        </w:tabs>
        <w:snapToGrid w:val="0"/>
        <w:spacing w:line="360" w:lineRule="auto"/>
        <w:ind w:firstLine="480" w:firstLineChars="200"/>
        <w:jc w:val="left"/>
        <w:rPr>
          <w:rFonts w:hint="eastAsia" w:ascii="仿宋" w:hAnsi="仿宋" w:eastAsia="仿宋" w:cs="仿宋"/>
          <w:b/>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w:t>
      </w: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pacing w:val="-4"/>
          <w:sz w:val="24"/>
          <w:szCs w:val="24"/>
          <w:highlight w:val="none"/>
        </w:rPr>
        <w:t>响应文件</w:t>
      </w:r>
      <w:r>
        <w:rPr>
          <w:rFonts w:hint="eastAsia" w:ascii="仿宋" w:hAnsi="仿宋" w:eastAsia="仿宋" w:cs="仿宋"/>
          <w:b/>
          <w:caps w:val="0"/>
          <w:color w:val="auto"/>
          <w:sz w:val="24"/>
          <w:szCs w:val="24"/>
          <w:highlight w:val="none"/>
        </w:rPr>
        <w:t>提供一式三份，其中报价文件正本一份，副本二份；商务技术文件正本一份，副本二份。</w:t>
      </w:r>
      <w:r>
        <w:rPr>
          <w:rFonts w:hint="eastAsia" w:ascii="仿宋" w:hAnsi="仿宋" w:eastAsia="仿宋" w:cs="仿宋"/>
          <w:caps w:val="0"/>
          <w:color w:val="auto"/>
          <w:spacing w:val="-4"/>
          <w:sz w:val="24"/>
          <w:szCs w:val="24"/>
          <w:highlight w:val="none"/>
        </w:rPr>
        <w:t>每份响</w:t>
      </w:r>
      <w:r>
        <w:rPr>
          <w:rFonts w:hint="eastAsia" w:ascii="仿宋" w:hAnsi="仿宋" w:eastAsia="仿宋" w:cs="仿宋"/>
          <w:caps w:val="0"/>
          <w:color w:val="auto"/>
          <w:spacing w:val="-4"/>
          <w:sz w:val="24"/>
          <w:highlight w:val="none"/>
        </w:rPr>
        <w:t>应文件须在封面上清楚标明“正本”或“副本”字样。一旦正本与副本不符，以正本为准。</w:t>
      </w:r>
    </w:p>
    <w:p w14:paraId="6ECE0428">
      <w:pPr>
        <w:snapToGrid w:val="0"/>
        <w:spacing w:line="360" w:lineRule="auto"/>
        <w:ind w:firstLine="464"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pacing w:val="-4"/>
          <w:sz w:val="24"/>
          <w:highlight w:val="none"/>
        </w:rPr>
        <w:t>1</w:t>
      </w:r>
      <w:r>
        <w:rPr>
          <w:rFonts w:hint="eastAsia" w:ascii="仿宋" w:hAnsi="仿宋" w:eastAsia="仿宋" w:cs="仿宋"/>
          <w:caps w:val="0"/>
          <w:color w:val="auto"/>
          <w:spacing w:val="-4"/>
          <w:sz w:val="24"/>
          <w:highlight w:val="none"/>
          <w:lang w:val="en-US" w:eastAsia="zh-CN"/>
        </w:rPr>
        <w:t>0</w:t>
      </w:r>
      <w:r>
        <w:rPr>
          <w:rFonts w:hint="eastAsia" w:ascii="仿宋" w:hAnsi="仿宋" w:eastAsia="仿宋" w:cs="仿宋"/>
          <w:caps w:val="0"/>
          <w:color w:val="auto"/>
          <w:spacing w:val="-4"/>
          <w:sz w:val="24"/>
          <w:highlight w:val="none"/>
        </w:rPr>
        <w:t>.3响应文件的正本须用不退色的墨水填写或打印，</w:t>
      </w:r>
      <w:r>
        <w:rPr>
          <w:rFonts w:hint="eastAsia" w:ascii="仿宋" w:hAnsi="仿宋" w:eastAsia="仿宋" w:cs="仿宋"/>
          <w:caps w:val="0"/>
          <w:color w:val="auto"/>
          <w:sz w:val="24"/>
          <w:highlight w:val="none"/>
        </w:rPr>
        <w:t>由供应商法定代表人或其授权代表亲自签署并加盖</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单位公章，</w:t>
      </w:r>
      <w:r>
        <w:rPr>
          <w:rFonts w:hint="eastAsia" w:ascii="仿宋" w:hAnsi="仿宋" w:eastAsia="仿宋" w:cs="仿宋"/>
          <w:caps w:val="0"/>
          <w:color w:val="auto"/>
          <w:spacing w:val="-4"/>
          <w:sz w:val="24"/>
          <w:highlight w:val="none"/>
        </w:rPr>
        <w:t>并注明“正本”字样。副本可以复印。</w:t>
      </w:r>
    </w:p>
    <w:p w14:paraId="0ADED385">
      <w:pPr>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.4响应文件不得涂改和增删，如要修改错漏处，必须由响应文件签署人在修改处签字或加盖印鉴。</w:t>
      </w:r>
    </w:p>
    <w:p w14:paraId="5DE10FD9">
      <w:pPr>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.5响应文件因字迹潦草或表达不清所引起的后果由</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负责。</w:t>
      </w:r>
    </w:p>
    <w:p w14:paraId="48556624">
      <w:pPr>
        <w:snapToGrid w:val="0"/>
        <w:spacing w:line="360" w:lineRule="auto"/>
        <w:ind w:firstLine="480" w:firstLineChars="200"/>
        <w:jc w:val="left"/>
        <w:rPr>
          <w:rFonts w:hint="eastAsia" w:ascii="仿宋" w:hAnsi="仿宋" w:eastAsia="仿宋" w:cs="仿宋"/>
          <w:caps w:val="0"/>
          <w:color w:val="auto"/>
          <w:sz w:val="24"/>
          <w:highlight w:val="none"/>
        </w:rPr>
      </w:pPr>
    </w:p>
    <w:p w14:paraId="5BF09C77">
      <w:pPr>
        <w:pStyle w:val="3"/>
        <w:spacing w:before="120" w:after="120" w:line="360" w:lineRule="auto"/>
        <w:rPr>
          <w:rFonts w:hint="eastAsia" w:ascii="仿宋" w:hAnsi="仿宋" w:eastAsia="仿宋" w:cs="仿宋"/>
          <w:b w:val="0"/>
          <w:caps w:val="0"/>
          <w:color w:val="auto"/>
          <w:highlight w:val="none"/>
        </w:rPr>
      </w:pPr>
      <w:bookmarkStart w:id="37" w:name="_Toc472544475"/>
      <w:r>
        <w:rPr>
          <w:rFonts w:hint="eastAsia" w:ascii="仿宋" w:hAnsi="仿宋" w:eastAsia="仿宋" w:cs="仿宋"/>
          <w:b w:val="0"/>
          <w:caps w:val="0"/>
          <w:color w:val="auto"/>
          <w:highlight w:val="none"/>
        </w:rPr>
        <w:t>四、响应文件的递交</w:t>
      </w:r>
      <w:bookmarkEnd w:id="36"/>
      <w:bookmarkEnd w:id="37"/>
    </w:p>
    <w:p w14:paraId="02E9F33D">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.响应文件的密封及标记</w:t>
      </w:r>
    </w:p>
    <w:p w14:paraId="7EF4A52E">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应将响应文件密封在封装袋中，并在封装袋（箱）上标明“正本”、“副本”字样，封口处应有</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公章或密封章及法定代表人或</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授权代表签字或盖章。</w:t>
      </w:r>
    </w:p>
    <w:p w14:paraId="33F8A3FF">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.2外层封皮上应写明：</w:t>
      </w:r>
    </w:p>
    <w:p w14:paraId="365AB890">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采购人名称：</w:t>
      </w:r>
    </w:p>
    <w:p w14:paraId="34D166AF">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采购编号：</w:t>
      </w:r>
      <w:r>
        <w:rPr>
          <w:rFonts w:hint="eastAsia" w:ascii="仿宋" w:hAnsi="仿宋" w:eastAsia="仿宋" w:cs="仿宋"/>
          <w:caps w:val="0"/>
          <w:color w:val="auto"/>
          <w:sz w:val="24"/>
          <w:highlight w:val="none"/>
          <w:lang w:val="en-US" w:eastAsia="zh-CN"/>
        </w:rPr>
        <w:t>XHYY-ZW-20250421-001</w:t>
      </w:r>
    </w:p>
    <w:p w14:paraId="47722F7D">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lang w:eastAsia="zh-CN"/>
        </w:rPr>
        <w:t>投标</w:t>
      </w:r>
      <w:r>
        <w:rPr>
          <w:rFonts w:hint="eastAsia" w:ascii="仿宋" w:hAnsi="仿宋" w:eastAsia="仿宋" w:cs="仿宋"/>
          <w:caps w:val="0"/>
          <w:color w:val="auto"/>
          <w:sz w:val="24"/>
          <w:highlight w:val="none"/>
          <w:lang w:val="en-US" w:eastAsia="zh-CN"/>
        </w:rPr>
        <w:t>供应商</w:t>
      </w:r>
      <w:r>
        <w:rPr>
          <w:rFonts w:hint="eastAsia" w:ascii="仿宋" w:hAnsi="仿宋" w:eastAsia="仿宋" w:cs="仿宋"/>
          <w:caps w:val="0"/>
          <w:color w:val="auto"/>
          <w:sz w:val="24"/>
          <w:highlight w:val="none"/>
        </w:rPr>
        <w:t>名称、通讯地址、邮政编码、联系人</w:t>
      </w:r>
    </w:p>
    <w:p w14:paraId="38CEC1EE">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.3如果</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响应文未密封的，不予接收。因按上述要求密封及加写标记，采购人对响应文件的误投和提前启封不负责任。</w:t>
      </w:r>
    </w:p>
    <w:p w14:paraId="795AAF74">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截止时间</w:t>
      </w:r>
    </w:p>
    <w:p w14:paraId="3171D776">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.1在本</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须知前附表规定的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截止时间前，供应商应当将响应文件密封送达指定的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地点。在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截止时间以后送达的响应文件为无效文件，采购人、</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小组拒绝接收。</w:t>
      </w:r>
    </w:p>
    <w:p w14:paraId="751FB1DF">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.2采购人因故推迟</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截止时间，将以书面形式通知所有</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。在这种情况下，采购人和</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的权利和义务将受到新的截止时间的约束。</w:t>
      </w:r>
    </w:p>
    <w:p w14:paraId="72411DAA">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．响应文件的修改与撤回</w:t>
      </w:r>
    </w:p>
    <w:p w14:paraId="576D200C">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可以在递交响应文件以后，在规定的响应文件提交截止时间前，可以对所提交的响应文件进行补充、修改或者撤回，并书面通知采购人。</w:t>
      </w:r>
    </w:p>
    <w:p w14:paraId="1A905845">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.2</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的补充、修改或撤回通知，应按本须知第13条规定编制、密封、标志和递交，并标明“修改”或“撤回”字样。</w:t>
      </w:r>
    </w:p>
    <w:p w14:paraId="098E1335">
      <w:pPr>
        <w:adjustRightInd w:val="0"/>
        <w:spacing w:line="360" w:lineRule="auto"/>
        <w:ind w:right="31" w:rightChars="15" w:firstLine="480" w:firstLineChars="200"/>
        <w:rPr>
          <w:rFonts w:hint="eastAsia" w:ascii="仿宋" w:hAnsi="仿宋" w:eastAsia="仿宋" w:cs="仿宋"/>
          <w:b/>
          <w:caps w:val="0"/>
          <w:color w:val="auto"/>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.3</w:t>
      </w:r>
      <w:r>
        <w:rPr>
          <w:rFonts w:hint="eastAsia" w:ascii="仿宋" w:hAnsi="仿宋" w:eastAsia="仿宋" w:cs="仿宋"/>
          <w:caps w:val="0"/>
          <w:color w:val="auto"/>
          <w:sz w:val="24"/>
          <w:szCs w:val="24"/>
          <w:highlight w:val="none"/>
        </w:rPr>
        <w:t>补充、修改的内容作为响应文件的组成部分。补充、修改的内容与响应文件不一致的，以补充、修改的内容为准。</w:t>
      </w:r>
      <w:r>
        <w:rPr>
          <w:rFonts w:hint="eastAsia" w:ascii="仿宋" w:hAnsi="仿宋" w:eastAsia="仿宋" w:cs="仿宋"/>
          <w:b/>
          <w:caps w:val="0"/>
          <w:color w:val="auto"/>
          <w:highlight w:val="none"/>
        </w:rPr>
        <w:t xml:space="preserve"> </w:t>
      </w:r>
    </w:p>
    <w:p w14:paraId="6022D2F0">
      <w:pPr>
        <w:pStyle w:val="3"/>
        <w:numPr>
          <w:ilvl w:val="0"/>
          <w:numId w:val="2"/>
        </w:numPr>
        <w:spacing w:before="120" w:after="120" w:line="360" w:lineRule="auto"/>
        <w:rPr>
          <w:rFonts w:hint="eastAsia" w:ascii="仿宋" w:hAnsi="仿宋" w:eastAsia="仿宋" w:cs="仿宋"/>
          <w:b w:val="0"/>
          <w:caps w:val="0"/>
          <w:color w:val="auto"/>
          <w:highlight w:val="none"/>
        </w:rPr>
      </w:pPr>
      <w:bookmarkStart w:id="38" w:name="_Toc207550884"/>
      <w:bookmarkStart w:id="39" w:name="_Toc472544476"/>
      <w:bookmarkStart w:id="40" w:name="_Toc183786419"/>
      <w:r>
        <w:rPr>
          <w:rFonts w:hint="eastAsia" w:ascii="仿宋" w:hAnsi="仿宋" w:eastAsia="仿宋" w:cs="仿宋"/>
          <w:b w:val="0"/>
          <w:caps w:val="0"/>
          <w:color w:val="auto"/>
          <w:highlight w:val="none"/>
        </w:rPr>
        <w:t>开启响应文件</w:t>
      </w:r>
      <w:bookmarkEnd w:id="38"/>
      <w:bookmarkEnd w:id="39"/>
    </w:p>
    <w:p w14:paraId="61064E7E">
      <w:pPr>
        <w:numPr>
          <w:ilvl w:val="0"/>
          <w:numId w:val="0"/>
        </w:numPr>
        <w:rPr>
          <w:rFonts w:hint="eastAsia" w:ascii="仿宋" w:hAnsi="仿宋" w:eastAsia="仿宋" w:cs="仿宋"/>
          <w:color w:val="auto"/>
          <w:highlight w:val="none"/>
        </w:rPr>
      </w:pPr>
    </w:p>
    <w:p w14:paraId="281C2608">
      <w:pPr>
        <w:spacing w:line="360" w:lineRule="auto"/>
        <w:ind w:firstLine="480"/>
        <w:rPr>
          <w:rFonts w:hint="eastAsia" w:ascii="仿宋" w:hAnsi="仿宋" w:eastAsia="仿宋" w:cs="仿宋"/>
          <w:b/>
          <w:caps w:val="0"/>
          <w:color w:val="auto"/>
          <w:kern w:val="2"/>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4</w:t>
      </w:r>
      <w:r>
        <w:rPr>
          <w:rFonts w:hint="eastAsia" w:ascii="仿宋" w:hAnsi="仿宋" w:eastAsia="仿宋" w:cs="仿宋"/>
          <w:caps w:val="0"/>
          <w:color w:val="auto"/>
          <w:sz w:val="24"/>
          <w:highlight w:val="none"/>
        </w:rPr>
        <w:t>.</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开始时，采购</w:t>
      </w:r>
      <w:r>
        <w:rPr>
          <w:rFonts w:hint="eastAsia" w:ascii="仿宋" w:hAnsi="仿宋" w:eastAsia="仿宋" w:cs="仿宋"/>
          <w:caps w:val="0"/>
          <w:color w:val="auto"/>
          <w:sz w:val="24"/>
          <w:highlight w:val="none"/>
          <w:lang w:eastAsia="zh-CN"/>
        </w:rPr>
        <w:t>人</w:t>
      </w:r>
      <w:r>
        <w:rPr>
          <w:rFonts w:hint="eastAsia" w:ascii="仿宋" w:hAnsi="仿宋" w:eastAsia="仿宋" w:cs="仿宋"/>
          <w:caps w:val="0"/>
          <w:color w:val="auto"/>
          <w:sz w:val="24"/>
          <w:highlight w:val="none"/>
        </w:rPr>
        <w:t>将组织查验响应文件的密封情况，确认无误后拆封响应文件。</w:t>
      </w:r>
      <w:r>
        <w:rPr>
          <w:rFonts w:hint="eastAsia" w:ascii="仿宋" w:hAnsi="仿宋" w:eastAsia="仿宋" w:cs="仿宋"/>
          <w:b/>
          <w:caps w:val="0"/>
          <w:color w:val="auto"/>
          <w:kern w:val="2"/>
          <w:sz w:val="24"/>
          <w:highlight w:val="none"/>
          <w:lang w:val="zh-CN"/>
        </w:rPr>
        <w:t>注：本项目在响应文件开启后直接递交招标小组审议，不进行公开唱标。</w:t>
      </w:r>
    </w:p>
    <w:p w14:paraId="4481B1B1">
      <w:pPr>
        <w:pStyle w:val="3"/>
        <w:spacing w:line="360" w:lineRule="auto"/>
        <w:rPr>
          <w:rFonts w:hint="eastAsia" w:ascii="仿宋" w:hAnsi="仿宋" w:eastAsia="仿宋" w:cs="仿宋"/>
          <w:b w:val="0"/>
          <w:caps w:val="0"/>
          <w:color w:val="auto"/>
          <w:highlight w:val="none"/>
        </w:rPr>
      </w:pPr>
      <w:bookmarkStart w:id="41" w:name="_Toc472544477"/>
      <w:r>
        <w:rPr>
          <w:rFonts w:hint="eastAsia" w:ascii="仿宋" w:hAnsi="仿宋" w:eastAsia="仿宋" w:cs="仿宋"/>
          <w:b w:val="0"/>
          <w:caps w:val="0"/>
          <w:color w:val="auto"/>
          <w:highlight w:val="none"/>
        </w:rPr>
        <w:t>六、</w:t>
      </w:r>
      <w:bookmarkEnd w:id="40"/>
      <w:r>
        <w:rPr>
          <w:rFonts w:hint="eastAsia" w:ascii="仿宋" w:hAnsi="仿宋" w:eastAsia="仿宋" w:cs="仿宋"/>
          <w:b w:val="0"/>
          <w:caps w:val="0"/>
          <w:color w:val="auto"/>
          <w:highlight w:val="none"/>
          <w:lang w:eastAsia="zh-CN"/>
        </w:rPr>
        <w:t>招标</w:t>
      </w:r>
      <w:r>
        <w:rPr>
          <w:rFonts w:hint="eastAsia" w:ascii="仿宋" w:hAnsi="仿宋" w:eastAsia="仿宋" w:cs="仿宋"/>
          <w:b w:val="0"/>
          <w:caps w:val="0"/>
          <w:color w:val="auto"/>
          <w:highlight w:val="none"/>
        </w:rPr>
        <w:t>人员及相关原则</w:t>
      </w:r>
      <w:bookmarkEnd w:id="41"/>
    </w:p>
    <w:p w14:paraId="57B48A9C">
      <w:pPr>
        <w:spacing w:line="360" w:lineRule="auto"/>
        <w:ind w:firstLine="482"/>
        <w:rPr>
          <w:rFonts w:hint="eastAsia" w:ascii="仿宋" w:hAnsi="仿宋" w:eastAsia="仿宋" w:cs="仿宋"/>
          <w:b/>
          <w:caps w:val="0"/>
          <w:color w:val="auto"/>
          <w:sz w:val="24"/>
          <w:highlight w:val="none"/>
        </w:rPr>
      </w:pPr>
      <w:bookmarkStart w:id="42" w:name="_Toc183786420"/>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5</w:t>
      </w:r>
      <w:r>
        <w:rPr>
          <w:rFonts w:hint="eastAsia" w:ascii="仿宋" w:hAnsi="仿宋" w:eastAsia="仿宋" w:cs="仿宋"/>
          <w:b/>
          <w:caps w:val="0"/>
          <w:color w:val="auto"/>
          <w:sz w:val="24"/>
          <w:highlight w:val="none"/>
        </w:rPr>
        <w:t>．参加</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人员</w:t>
      </w:r>
    </w:p>
    <w:p w14:paraId="47A25A4F">
      <w:pPr>
        <w:spacing w:line="360" w:lineRule="auto"/>
        <w:ind w:firstLine="482"/>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5</w:t>
      </w:r>
      <w:r>
        <w:rPr>
          <w:rFonts w:hint="eastAsia" w:ascii="仿宋" w:hAnsi="仿宋" w:eastAsia="仿宋" w:cs="仿宋"/>
          <w:caps w:val="0"/>
          <w:color w:val="auto"/>
          <w:sz w:val="24"/>
          <w:highlight w:val="none"/>
        </w:rPr>
        <w:t>.1供应商应派法定代表人或其授权代表参加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。该授权代表须出具法定代表人资格证明及授权委托书（格式详见第五章），并出示身份证件。授权代表如是法定代表人的，只须提供法定代表人证明并出示相关证明、证件即可。如是法定代表人参加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且又授权其代表参加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，则</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工作将以法定代表人的授权代表为准。</w:t>
      </w:r>
    </w:p>
    <w:p w14:paraId="1E925E69">
      <w:pPr>
        <w:spacing w:line="360" w:lineRule="auto"/>
        <w:ind w:firstLine="482"/>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5</w:t>
      </w:r>
      <w:r>
        <w:rPr>
          <w:rFonts w:hint="eastAsia" w:ascii="仿宋" w:hAnsi="仿宋" w:eastAsia="仿宋" w:cs="仿宋"/>
          <w:caps w:val="0"/>
          <w:color w:val="auto"/>
          <w:sz w:val="24"/>
          <w:highlight w:val="none"/>
        </w:rPr>
        <w:t>.2未能出示上述文件或者证件的，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领导小组将拒绝与该供应商</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w:t>
      </w:r>
    </w:p>
    <w:p w14:paraId="55774806">
      <w:pPr>
        <w:tabs>
          <w:tab w:val="left" w:pos="7140"/>
        </w:tabs>
        <w:spacing w:line="360" w:lineRule="auto"/>
        <w:ind w:firstLine="48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6</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小组</w:t>
      </w:r>
      <w:r>
        <w:rPr>
          <w:rFonts w:hint="eastAsia" w:ascii="仿宋" w:hAnsi="仿宋" w:eastAsia="仿宋" w:cs="仿宋"/>
          <w:b/>
          <w:caps w:val="0"/>
          <w:color w:val="auto"/>
          <w:sz w:val="24"/>
          <w:highlight w:val="none"/>
        </w:rPr>
        <w:tab/>
      </w:r>
    </w:p>
    <w:p w14:paraId="4248BBB7">
      <w:pPr>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小组由采购人代表和评审专家共3人以上单数组成，其中评审专家人数不少于</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小组成员总数的2/3。</w:t>
      </w:r>
    </w:p>
    <w:p w14:paraId="1ED97A84">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.2</w:t>
      </w:r>
      <w:r>
        <w:rPr>
          <w:rFonts w:hint="eastAsia" w:ascii="仿宋" w:hAnsi="仿宋" w:eastAsia="仿宋" w:cs="仿宋"/>
          <w:caps w:val="0"/>
          <w:color w:val="auto"/>
          <w:sz w:val="24"/>
          <w:szCs w:val="24"/>
          <w:highlight w:val="none"/>
        </w:rPr>
        <w:t>评审专家应当遵守评审工作纪律，不得泄露评审情况和评审中获悉的商业秘密。</w:t>
      </w:r>
    </w:p>
    <w:p w14:paraId="14643E47">
      <w:pPr>
        <w:spacing w:line="360" w:lineRule="auto"/>
        <w:ind w:firstLine="480" w:firstLineChars="200"/>
        <w:rPr>
          <w:rFonts w:hint="eastAsia" w:ascii="仿宋" w:hAnsi="仿宋" w:eastAsia="仿宋" w:cs="仿宋"/>
          <w:caps w:val="0"/>
          <w:color w:val="auto"/>
          <w:kern w:val="2"/>
          <w:sz w:val="24"/>
          <w:highlight w:val="none"/>
          <w:lang w:val="zh-CN"/>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.3</w:t>
      </w:r>
      <w:r>
        <w:rPr>
          <w:rFonts w:hint="eastAsia" w:ascii="仿宋" w:hAnsi="仿宋" w:eastAsia="仿宋" w:cs="仿宋"/>
          <w:caps w:val="0"/>
          <w:color w:val="auto"/>
          <w:kern w:val="2"/>
          <w:sz w:val="24"/>
          <w:highlight w:val="none"/>
          <w:lang w:eastAsia="zh-CN"/>
        </w:rPr>
        <w:t>招标</w:t>
      </w:r>
      <w:r>
        <w:rPr>
          <w:rFonts w:hint="eastAsia" w:ascii="仿宋" w:hAnsi="仿宋" w:eastAsia="仿宋" w:cs="仿宋"/>
          <w:caps w:val="0"/>
          <w:color w:val="auto"/>
          <w:kern w:val="2"/>
          <w:sz w:val="24"/>
          <w:highlight w:val="none"/>
        </w:rPr>
        <w:t>小组在评审过程中发现供应商有行贿、提供虚假材料或者串通等违法行为的，应当及时向财政部门报告。</w:t>
      </w:r>
    </w:p>
    <w:p w14:paraId="390D66BE">
      <w:pPr>
        <w:spacing w:line="360" w:lineRule="auto"/>
        <w:ind w:firstLine="480" w:firstLineChars="200"/>
        <w:rPr>
          <w:rFonts w:hint="eastAsia" w:ascii="仿宋" w:hAnsi="仿宋" w:eastAsia="仿宋" w:cs="仿宋"/>
          <w:caps w:val="0"/>
          <w:color w:val="auto"/>
          <w:kern w:val="2"/>
          <w:sz w:val="24"/>
          <w:highlight w:val="none"/>
        </w:rPr>
      </w:pPr>
      <w:r>
        <w:rPr>
          <w:rFonts w:hint="eastAsia" w:ascii="仿宋" w:hAnsi="仿宋" w:eastAsia="仿宋" w:cs="仿宋"/>
          <w:caps w:val="0"/>
          <w:color w:val="auto"/>
          <w:kern w:val="2"/>
          <w:sz w:val="24"/>
          <w:highlight w:val="none"/>
        </w:rPr>
        <w:t>1</w:t>
      </w:r>
      <w:r>
        <w:rPr>
          <w:rFonts w:hint="eastAsia" w:ascii="仿宋" w:hAnsi="仿宋" w:eastAsia="仿宋" w:cs="仿宋"/>
          <w:caps w:val="0"/>
          <w:color w:val="auto"/>
          <w:kern w:val="2"/>
          <w:sz w:val="24"/>
          <w:highlight w:val="none"/>
          <w:lang w:val="en-US" w:eastAsia="zh-CN"/>
        </w:rPr>
        <w:t>6</w:t>
      </w:r>
      <w:r>
        <w:rPr>
          <w:rFonts w:hint="eastAsia" w:ascii="仿宋" w:hAnsi="仿宋" w:eastAsia="仿宋" w:cs="仿宋"/>
          <w:caps w:val="0"/>
          <w:color w:val="auto"/>
          <w:kern w:val="2"/>
          <w:sz w:val="24"/>
          <w:highlight w:val="none"/>
        </w:rPr>
        <w:t>.4评审专家在评审过程中受到非法干涉的，应当及时向财政、监察等部门举报。</w:t>
      </w:r>
    </w:p>
    <w:p w14:paraId="6887079F">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7</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评审原则</w:t>
      </w:r>
    </w:p>
    <w:p w14:paraId="43ABED4D">
      <w:pPr>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小组成员应当按照客观、公正、审慎的原则，根据</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文件规定的评审程序、评审方法和评审标准进行独立评审。</w:t>
      </w:r>
    </w:p>
    <w:p w14:paraId="0F2E08CA">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.2客观、公正的对待所有供应商，对所有供应商均采用相同的程序和标准，依据</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评审程序列。</w:t>
      </w:r>
    </w:p>
    <w:p w14:paraId="5A68C2A2">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.3在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期间，</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不得向</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小组成员询问与其无关的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情况，不得进行旨在影响</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结果的活动，否则将取消其</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资格。</w:t>
      </w:r>
    </w:p>
    <w:p w14:paraId="6867F1F6">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.4在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过程中，评审专家不得与</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私下交换意见，在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工作结束后，评审专家或知情者应严格保密，不得将</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评审情况告诉与之无关的人（包括</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w:t>
      </w:r>
    </w:p>
    <w:p w14:paraId="30B2C846">
      <w:pPr>
        <w:spacing w:line="341" w:lineRule="auto"/>
        <w:ind w:firstLine="480"/>
        <w:rPr>
          <w:rFonts w:hint="eastAsia" w:ascii="仿宋" w:hAnsi="仿宋" w:eastAsia="仿宋" w:cs="仿宋"/>
          <w:caps w:val="0"/>
          <w:color w:val="auto"/>
          <w:kern w:val="2"/>
          <w:sz w:val="24"/>
          <w:highlight w:val="none"/>
          <w:lang w:val="zh-CN"/>
        </w:rPr>
      </w:pPr>
      <w:r>
        <w:rPr>
          <w:rFonts w:hint="eastAsia" w:ascii="仿宋" w:hAnsi="仿宋" w:eastAsia="仿宋" w:cs="仿宋"/>
          <w:caps w:val="0"/>
          <w:color w:val="auto"/>
          <w:kern w:val="2"/>
          <w:sz w:val="24"/>
          <w:highlight w:val="none"/>
          <w:lang w:val="zh-CN"/>
        </w:rPr>
        <w:t>1</w:t>
      </w:r>
      <w:r>
        <w:rPr>
          <w:rFonts w:hint="eastAsia" w:ascii="仿宋" w:hAnsi="仿宋" w:eastAsia="仿宋" w:cs="仿宋"/>
          <w:caps w:val="0"/>
          <w:color w:val="auto"/>
          <w:kern w:val="2"/>
          <w:sz w:val="24"/>
          <w:highlight w:val="none"/>
          <w:lang w:val="en-US" w:eastAsia="zh-CN"/>
        </w:rPr>
        <w:t>7</w:t>
      </w:r>
      <w:r>
        <w:rPr>
          <w:rFonts w:hint="eastAsia" w:ascii="仿宋" w:hAnsi="仿宋" w:eastAsia="仿宋" w:cs="仿宋"/>
          <w:caps w:val="0"/>
          <w:color w:val="auto"/>
          <w:kern w:val="2"/>
          <w:sz w:val="24"/>
          <w:highlight w:val="none"/>
          <w:lang w:val="zh-CN"/>
        </w:rPr>
        <w:t>.5在招标和评定成交供应商的过程中，如有投标供应商联合故意抬高报价或其他不正当行为，采购人有权中止招标。</w:t>
      </w:r>
    </w:p>
    <w:p w14:paraId="79D881CE">
      <w:pPr>
        <w:spacing w:line="341"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.6采购人不向未成交供应商解释原因，不退还响应文件，不符合密封、装订要求而被拒绝的响应文件除外。</w:t>
      </w:r>
    </w:p>
    <w:p w14:paraId="1BEA2995">
      <w:pPr>
        <w:pStyle w:val="3"/>
        <w:spacing w:before="120" w:after="120" w:line="360" w:lineRule="auto"/>
        <w:rPr>
          <w:rFonts w:hint="eastAsia" w:ascii="仿宋" w:hAnsi="仿宋" w:eastAsia="仿宋" w:cs="仿宋"/>
          <w:b w:val="0"/>
          <w:caps w:val="0"/>
          <w:color w:val="auto"/>
          <w:highlight w:val="none"/>
        </w:rPr>
      </w:pPr>
      <w:bookmarkStart w:id="43" w:name="_Toc472544478"/>
      <w:r>
        <w:rPr>
          <w:rFonts w:hint="eastAsia" w:ascii="仿宋" w:hAnsi="仿宋" w:eastAsia="仿宋" w:cs="仿宋"/>
          <w:b w:val="0"/>
          <w:caps w:val="0"/>
          <w:color w:val="auto"/>
          <w:highlight w:val="none"/>
        </w:rPr>
        <w:t>七、</w:t>
      </w:r>
      <w:r>
        <w:rPr>
          <w:rFonts w:hint="eastAsia" w:ascii="仿宋" w:hAnsi="仿宋" w:eastAsia="仿宋" w:cs="仿宋"/>
          <w:b w:val="0"/>
          <w:caps w:val="0"/>
          <w:color w:val="auto"/>
          <w:highlight w:val="none"/>
          <w:lang w:eastAsia="zh-CN"/>
        </w:rPr>
        <w:t>招标</w:t>
      </w:r>
      <w:r>
        <w:rPr>
          <w:rFonts w:hint="eastAsia" w:ascii="仿宋" w:hAnsi="仿宋" w:eastAsia="仿宋" w:cs="仿宋"/>
          <w:b w:val="0"/>
          <w:caps w:val="0"/>
          <w:color w:val="auto"/>
          <w:highlight w:val="none"/>
        </w:rPr>
        <w:t>程序</w:t>
      </w:r>
      <w:bookmarkEnd w:id="43"/>
    </w:p>
    <w:p w14:paraId="05C56059">
      <w:pPr>
        <w:snapToGrid w:val="0"/>
        <w:spacing w:line="360" w:lineRule="auto"/>
        <w:ind w:firstLine="48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lang w:val="en-US" w:eastAsia="zh-CN"/>
        </w:rPr>
        <w:t>18</w:t>
      </w:r>
      <w:r>
        <w:rPr>
          <w:rFonts w:hint="eastAsia" w:ascii="仿宋" w:hAnsi="仿宋" w:eastAsia="仿宋" w:cs="仿宋"/>
          <w:b/>
          <w:caps w:val="0"/>
          <w:color w:val="auto"/>
          <w:sz w:val="24"/>
          <w:szCs w:val="24"/>
          <w:highlight w:val="none"/>
        </w:rPr>
        <w:t>. 对所有响应文件的初审</w:t>
      </w:r>
    </w:p>
    <w:p w14:paraId="2072FBC5">
      <w:pPr>
        <w:adjustRightInd w:val="0"/>
        <w:snapToGrid w:val="0"/>
        <w:spacing w:line="360" w:lineRule="auto"/>
        <w:ind w:firstLine="480"/>
        <w:rPr>
          <w:rFonts w:hint="eastAsia" w:ascii="仿宋" w:hAnsi="仿宋" w:eastAsia="仿宋" w:cs="仿宋"/>
          <w:b/>
          <w:caps w:val="0"/>
          <w:color w:val="auto"/>
          <w:sz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.1初审包括资格条件、符合性评审。审查不合格的，其</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响应将无效，不再进行后续</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。如有下列情形的，符合性审查不合格：</w:t>
      </w:r>
    </w:p>
    <w:p w14:paraId="40B23EFD">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）报名的供应商与参加</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的供应商发生实质性变更的且未提供有效证明的；</w:t>
      </w:r>
    </w:p>
    <w:p w14:paraId="2A282953">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）供应商提交两份或两份以上内容不同的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响应文件或技术方案，未声明哪一份有效的；</w:t>
      </w:r>
    </w:p>
    <w:p w14:paraId="5E8588B8">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响应文件非供应商法定代表人签署的，未提供或提供无效的法定代表人授权书；</w:t>
      </w:r>
    </w:p>
    <w:p w14:paraId="49268EEA">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4</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响应文件中法定代表人和授权代表身份证复印件不齐全的；</w:t>
      </w:r>
    </w:p>
    <w:p w14:paraId="14F31B64">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5</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响应文件内容未按</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文件规定签字或盖章的；</w:t>
      </w:r>
    </w:p>
    <w:p w14:paraId="7B6C80D8">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6</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响应文件内容不全或内容字迹模糊辨认不清的等而导致评标活动无法正常进行；</w:t>
      </w:r>
    </w:p>
    <w:p w14:paraId="4A821054">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7</w:t>
      </w:r>
      <w:r>
        <w:rPr>
          <w:rFonts w:hint="eastAsia" w:ascii="仿宋" w:hAnsi="仿宋" w:eastAsia="仿宋" w:cs="仿宋"/>
          <w:b/>
          <w:caps w:val="0"/>
          <w:color w:val="auto"/>
          <w:sz w:val="24"/>
          <w:highlight w:val="none"/>
        </w:rPr>
        <w:t>）供应商未按</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文件变更通知更改</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响应文件的；</w:t>
      </w:r>
    </w:p>
    <w:p w14:paraId="725A631F">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8</w:t>
      </w:r>
      <w:r>
        <w:rPr>
          <w:rFonts w:hint="eastAsia" w:ascii="仿宋" w:hAnsi="仿宋" w:eastAsia="仿宋" w:cs="仿宋"/>
          <w:b/>
          <w:caps w:val="0"/>
          <w:color w:val="auto"/>
          <w:sz w:val="24"/>
          <w:highlight w:val="none"/>
        </w:rPr>
        <w:t>）未实质性响应</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文件中带“▲”条款要求的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w:t>
      </w:r>
    </w:p>
    <w:p w14:paraId="6DE21FAD">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9</w:t>
      </w:r>
      <w:r>
        <w:rPr>
          <w:rFonts w:hint="eastAsia" w:ascii="仿宋" w:hAnsi="仿宋" w:eastAsia="仿宋" w:cs="仿宋"/>
          <w:b/>
          <w:caps w:val="0"/>
          <w:color w:val="auto"/>
          <w:sz w:val="24"/>
          <w:highlight w:val="none"/>
        </w:rPr>
        <w:t>）商务条款中的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有效期不能满足</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文件要求的；</w:t>
      </w:r>
    </w:p>
    <w:p w14:paraId="5BF82E6E">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响应文件附有采购人不能接受的条款；</w:t>
      </w:r>
    </w:p>
    <w:p w14:paraId="65546194">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响应文件中提供了与采购无关的赠品、回扣或者其他商品、服务；</w:t>
      </w:r>
    </w:p>
    <w:p w14:paraId="115B3022">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）供应商串通投标，妨碍其他供应商的竞争行为，损害采购人或者其他供应商的合法权益；</w:t>
      </w:r>
    </w:p>
    <w:p w14:paraId="0B7ADB51">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）违反国家及政府部门相关法律、法规、文件规定或经</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小组认定的其他属于重大偏离。</w:t>
      </w:r>
    </w:p>
    <w:p w14:paraId="1EC885AB">
      <w:pPr>
        <w:adjustRightInd w:val="0"/>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 xml:space="preserve">.2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4C6CF6">
      <w:pPr>
        <w:adjustRightInd w:val="0"/>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.3</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2457F097">
      <w:pPr>
        <w:snapToGrid w:val="0"/>
        <w:spacing w:line="360" w:lineRule="auto"/>
        <w:ind w:firstLine="480"/>
        <w:rPr>
          <w:rFonts w:hint="eastAsia" w:ascii="仿宋" w:hAnsi="仿宋" w:eastAsia="仿宋" w:cs="仿宋"/>
          <w:b/>
          <w:bCs/>
          <w:caps w:val="0"/>
          <w:color w:val="auto"/>
          <w:sz w:val="24"/>
          <w:szCs w:val="24"/>
          <w:highlight w:val="none"/>
          <w:lang w:val="zh-CN"/>
        </w:rPr>
      </w:pPr>
      <w:r>
        <w:rPr>
          <w:rFonts w:hint="eastAsia" w:ascii="仿宋" w:hAnsi="仿宋" w:eastAsia="仿宋" w:cs="仿宋"/>
          <w:b/>
          <w:bCs/>
          <w:caps w:val="0"/>
          <w:color w:val="auto"/>
          <w:sz w:val="24"/>
          <w:szCs w:val="24"/>
          <w:highlight w:val="none"/>
          <w:lang w:val="en-US" w:eastAsia="zh-CN"/>
        </w:rPr>
        <w:t>19</w:t>
      </w:r>
      <w:r>
        <w:rPr>
          <w:rFonts w:hint="eastAsia" w:ascii="仿宋" w:hAnsi="仿宋" w:eastAsia="仿宋" w:cs="仿宋"/>
          <w:b/>
          <w:bCs/>
          <w:caps w:val="0"/>
          <w:color w:val="auto"/>
          <w:sz w:val="24"/>
          <w:szCs w:val="24"/>
          <w:highlight w:val="none"/>
          <w:lang w:val="zh-CN"/>
        </w:rPr>
        <w:t>.招标</w:t>
      </w:r>
    </w:p>
    <w:p w14:paraId="14E5D73D">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.1初审合格的供应商进入下一步的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活动。</w:t>
      </w:r>
    </w:p>
    <w:p w14:paraId="4887D446">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小组所有成员应当集中与单一供应商分别进行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，并给予所有参加</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的供应商平等的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机会。</w:t>
      </w:r>
    </w:p>
    <w:p w14:paraId="63D15CF3">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.3在</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过程中，</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小组可以根据</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情况实质性变动采购需求中的技术、服务要求以及合同草案条款。实质性变动的内容，须经采购人代表确认。</w:t>
      </w:r>
    </w:p>
    <w:p w14:paraId="3FF19C3D">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.4</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文件作出的实质性变动是</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文件的有效组成部分，</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小组应当及时以书面形式同时通知所有参加</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的供应商。</w:t>
      </w:r>
    </w:p>
    <w:p w14:paraId="555F433C">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.5供应商应当按照</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文件的变动情况和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小组的要求重新提交响应文件，并由其法定代表人或授权代表签字或者加盖公章。由授权代表签字的，应当附法定代表人授权书。</w:t>
      </w:r>
    </w:p>
    <w:p w14:paraId="2B112674">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.6</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小组采用综合评分法对供应商的响应文件进行综合评分。</w:t>
      </w:r>
    </w:p>
    <w:p w14:paraId="65CD1612">
      <w:pPr>
        <w:snapToGrid w:val="0"/>
        <w:spacing w:line="360" w:lineRule="auto"/>
        <w:ind w:firstLine="482" w:firstLineChars="200"/>
        <w:rPr>
          <w:rFonts w:hint="eastAsia" w:ascii="仿宋" w:hAnsi="仿宋" w:eastAsia="仿宋" w:cs="仿宋"/>
          <w:b/>
          <w:bCs/>
          <w:caps w:val="0"/>
          <w:color w:val="auto"/>
          <w:sz w:val="24"/>
          <w:szCs w:val="24"/>
          <w:highlight w:val="none"/>
        </w:rPr>
      </w:pPr>
      <w:r>
        <w:rPr>
          <w:rFonts w:hint="eastAsia" w:ascii="仿宋" w:hAnsi="仿宋" w:eastAsia="仿宋" w:cs="仿宋"/>
          <w:b/>
          <w:bCs/>
          <w:caps w:val="0"/>
          <w:color w:val="auto"/>
          <w:sz w:val="24"/>
          <w:szCs w:val="24"/>
          <w:highlight w:val="none"/>
          <w:lang w:val="en-US" w:eastAsia="zh-CN"/>
        </w:rPr>
        <w:t>19.7招标</w:t>
      </w:r>
      <w:r>
        <w:rPr>
          <w:rFonts w:hint="eastAsia" w:ascii="仿宋" w:hAnsi="仿宋" w:eastAsia="仿宋" w:cs="仿宋"/>
          <w:b/>
          <w:bCs/>
          <w:caps w:val="0"/>
          <w:color w:val="auto"/>
          <w:sz w:val="24"/>
          <w:szCs w:val="24"/>
          <w:highlight w:val="none"/>
        </w:rPr>
        <w:t>时间</w:t>
      </w:r>
      <w:r>
        <w:rPr>
          <w:rFonts w:hint="eastAsia" w:ascii="仿宋" w:hAnsi="仿宋" w:eastAsia="仿宋" w:cs="仿宋"/>
          <w:b/>
          <w:bCs/>
          <w:caps w:val="0"/>
          <w:color w:val="auto"/>
          <w:sz w:val="24"/>
          <w:szCs w:val="24"/>
          <w:highlight w:val="none"/>
          <w:lang w:eastAsia="zh-CN"/>
        </w:rPr>
        <w:t>：</w:t>
      </w:r>
      <w:r>
        <w:rPr>
          <w:rFonts w:hint="eastAsia" w:ascii="仿宋" w:hAnsi="仿宋" w:eastAsia="仿宋" w:cs="仿宋"/>
          <w:b/>
          <w:bCs/>
          <w:caps w:val="0"/>
          <w:color w:val="auto"/>
          <w:sz w:val="24"/>
          <w:szCs w:val="24"/>
          <w:highlight w:val="none"/>
        </w:rPr>
        <w:t>202</w:t>
      </w:r>
      <w:r>
        <w:rPr>
          <w:rFonts w:hint="eastAsia" w:ascii="仿宋" w:hAnsi="仿宋" w:eastAsia="仿宋" w:cs="仿宋"/>
          <w:b/>
          <w:bCs/>
          <w:caps w:val="0"/>
          <w:color w:val="auto"/>
          <w:sz w:val="24"/>
          <w:szCs w:val="24"/>
          <w:highlight w:val="none"/>
          <w:lang w:val="en-US" w:eastAsia="zh-CN"/>
        </w:rPr>
        <w:t>5</w:t>
      </w:r>
      <w:r>
        <w:rPr>
          <w:rFonts w:hint="eastAsia" w:ascii="仿宋" w:hAnsi="仿宋" w:eastAsia="仿宋" w:cs="仿宋"/>
          <w:b/>
          <w:bCs/>
          <w:caps w:val="0"/>
          <w:color w:val="auto"/>
          <w:sz w:val="24"/>
          <w:szCs w:val="24"/>
          <w:highlight w:val="none"/>
        </w:rPr>
        <w:t xml:space="preserve">年 </w:t>
      </w:r>
      <w:r>
        <w:rPr>
          <w:rFonts w:hint="eastAsia" w:ascii="仿宋" w:hAnsi="仿宋" w:eastAsia="仿宋" w:cs="仿宋"/>
          <w:b/>
          <w:bCs/>
          <w:caps w:val="0"/>
          <w:color w:val="auto"/>
          <w:sz w:val="24"/>
          <w:szCs w:val="24"/>
          <w:highlight w:val="none"/>
          <w:lang w:val="en-US" w:eastAsia="zh-CN"/>
        </w:rPr>
        <w:t>4</w:t>
      </w:r>
      <w:r>
        <w:rPr>
          <w:rFonts w:hint="eastAsia" w:ascii="仿宋" w:hAnsi="仿宋" w:eastAsia="仿宋" w:cs="仿宋"/>
          <w:b/>
          <w:bCs/>
          <w:caps w:val="0"/>
          <w:color w:val="auto"/>
          <w:sz w:val="24"/>
          <w:szCs w:val="24"/>
          <w:highlight w:val="none"/>
        </w:rPr>
        <w:t xml:space="preserve"> 月 </w:t>
      </w:r>
      <w:r>
        <w:rPr>
          <w:rFonts w:hint="eastAsia" w:ascii="仿宋" w:hAnsi="仿宋" w:eastAsia="仿宋" w:cs="仿宋"/>
          <w:b/>
          <w:bCs/>
          <w:caps w:val="0"/>
          <w:color w:val="auto"/>
          <w:sz w:val="24"/>
          <w:szCs w:val="24"/>
          <w:highlight w:val="none"/>
          <w:lang w:val="en-US" w:eastAsia="zh-CN"/>
        </w:rPr>
        <w:t>28</w:t>
      </w:r>
      <w:r>
        <w:rPr>
          <w:rFonts w:hint="eastAsia" w:ascii="仿宋" w:hAnsi="仿宋" w:eastAsia="仿宋" w:cs="仿宋"/>
          <w:b/>
          <w:bCs/>
          <w:caps w:val="0"/>
          <w:color w:val="auto"/>
          <w:sz w:val="24"/>
          <w:szCs w:val="24"/>
          <w:highlight w:val="none"/>
        </w:rPr>
        <w:t>日</w:t>
      </w:r>
      <w:r>
        <w:rPr>
          <w:rFonts w:hint="eastAsia" w:ascii="仿宋" w:hAnsi="仿宋" w:eastAsia="仿宋" w:cs="仿宋"/>
          <w:b/>
          <w:bCs/>
          <w:caps w:val="0"/>
          <w:color w:val="auto"/>
          <w:sz w:val="24"/>
          <w:szCs w:val="24"/>
          <w:highlight w:val="none"/>
          <w:lang w:val="en-US" w:eastAsia="zh-CN"/>
        </w:rPr>
        <w:t>15</w:t>
      </w:r>
      <w:r>
        <w:rPr>
          <w:rFonts w:hint="eastAsia" w:ascii="仿宋" w:hAnsi="仿宋" w:eastAsia="仿宋" w:cs="仿宋"/>
          <w:b/>
          <w:bCs/>
          <w:caps w:val="0"/>
          <w:color w:val="auto"/>
          <w:sz w:val="24"/>
          <w:szCs w:val="24"/>
          <w:highlight w:val="none"/>
        </w:rPr>
        <w:t>时00分（北京时间）。</w:t>
      </w:r>
    </w:p>
    <w:p w14:paraId="47EDCC88">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bCs/>
          <w:caps w:val="0"/>
          <w:color w:val="auto"/>
          <w:sz w:val="24"/>
          <w:szCs w:val="24"/>
          <w:highlight w:val="none"/>
          <w:lang w:val="en-US" w:eastAsia="zh-CN"/>
        </w:rPr>
        <w:t>19.8招标地址：浙江中医药大学附属第二医院潮王路318号住院部一楼</w:t>
      </w:r>
    </w:p>
    <w:p w14:paraId="75C3B123">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0</w:t>
      </w:r>
      <w:r>
        <w:rPr>
          <w:rFonts w:hint="eastAsia" w:ascii="仿宋" w:hAnsi="仿宋" w:eastAsia="仿宋" w:cs="仿宋"/>
          <w:b/>
          <w:caps w:val="0"/>
          <w:color w:val="auto"/>
          <w:sz w:val="24"/>
          <w:szCs w:val="24"/>
          <w:highlight w:val="none"/>
        </w:rPr>
        <w:t>. 评审因素</w:t>
      </w:r>
    </w:p>
    <w:p w14:paraId="55E96E02">
      <w:pPr>
        <w:snapToGrid w:val="0"/>
        <w:spacing w:line="360" w:lineRule="auto"/>
        <w:ind w:firstLine="480" w:firstLineChars="200"/>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.1 商务资信技术部分</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lang w:val="en-US" w:eastAsia="zh-CN"/>
        </w:rPr>
        <w:t>70分</w:t>
      </w:r>
      <w:r>
        <w:rPr>
          <w:rFonts w:hint="eastAsia" w:ascii="仿宋" w:hAnsi="仿宋" w:eastAsia="仿宋" w:cs="仿宋"/>
          <w:caps w:val="0"/>
          <w:color w:val="auto"/>
          <w:sz w:val="24"/>
          <w:szCs w:val="24"/>
          <w:highlight w:val="none"/>
          <w:lang w:eastAsia="zh-CN"/>
        </w:rPr>
        <w:t>）</w:t>
      </w:r>
    </w:p>
    <w:p w14:paraId="5947D84E">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小组对各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响应供应商的技术和服务方案、资信业绩充分审核、讨论及评议后，每人一份评分表，进行独自打分并签名。在统计得分时，如发现某一单项评分超过评分细则规定的分值范围，则该张评分表无效。</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响应供应商技术部分的得分为</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小组各成员的有效评分的算术平均值。</w:t>
      </w:r>
    </w:p>
    <w:tbl>
      <w:tblPr>
        <w:tblStyle w:val="10"/>
        <w:tblW w:w="499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73"/>
        <w:gridCol w:w="1667"/>
        <w:gridCol w:w="5730"/>
        <w:gridCol w:w="1023"/>
      </w:tblGrid>
      <w:tr w14:paraId="6A433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518" w:type="pct"/>
            <w:shd w:val="clear" w:color="auto" w:fill="FFFFFF"/>
            <w:noWrap w:val="0"/>
            <w:vAlign w:val="center"/>
          </w:tcPr>
          <w:p w14:paraId="74F9F05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序号</w:t>
            </w:r>
          </w:p>
        </w:tc>
        <w:tc>
          <w:tcPr>
            <w:tcW w:w="887" w:type="pct"/>
            <w:shd w:val="clear" w:color="auto" w:fill="FFFFFF"/>
            <w:noWrap w:val="0"/>
            <w:vAlign w:val="center"/>
          </w:tcPr>
          <w:p w14:paraId="0EA2014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评分内容</w:t>
            </w:r>
          </w:p>
        </w:tc>
        <w:tc>
          <w:tcPr>
            <w:tcW w:w="3048" w:type="pct"/>
            <w:shd w:val="clear" w:color="auto" w:fill="FFFFFF"/>
            <w:noWrap w:val="0"/>
            <w:vAlign w:val="center"/>
          </w:tcPr>
          <w:p w14:paraId="07F42E4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评分标准</w:t>
            </w:r>
          </w:p>
        </w:tc>
        <w:tc>
          <w:tcPr>
            <w:tcW w:w="544" w:type="pct"/>
            <w:shd w:val="clear" w:color="auto" w:fill="FFFFFF"/>
            <w:noWrap w:val="0"/>
            <w:vAlign w:val="center"/>
          </w:tcPr>
          <w:p w14:paraId="3AFA208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分值</w:t>
            </w:r>
          </w:p>
        </w:tc>
      </w:tr>
      <w:tr w14:paraId="29508A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518" w:type="pct"/>
            <w:shd w:val="clear" w:color="auto" w:fill="FFFFFF"/>
            <w:noWrap w:val="0"/>
            <w:vAlign w:val="center"/>
          </w:tcPr>
          <w:p w14:paraId="2C96EDB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1</w:t>
            </w:r>
          </w:p>
        </w:tc>
        <w:tc>
          <w:tcPr>
            <w:tcW w:w="887" w:type="pct"/>
            <w:shd w:val="clear" w:color="auto" w:fill="FFFFFF"/>
            <w:noWrap w:val="0"/>
            <w:vAlign w:val="center"/>
          </w:tcPr>
          <w:p w14:paraId="17DF21C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供应商资信</w:t>
            </w:r>
          </w:p>
        </w:tc>
        <w:tc>
          <w:tcPr>
            <w:tcW w:w="3048" w:type="pct"/>
            <w:shd w:val="clear" w:color="auto" w:fill="FFFFFF"/>
            <w:noWrap w:val="0"/>
            <w:vAlign w:val="center"/>
          </w:tcPr>
          <w:p w14:paraId="4DDF5A9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投标人具有有效的质量管理体系认证证书、环境认证体系认证证书和职业健康管理体系认证证书，每提供一个证书得1分，最高得3分。</w:t>
            </w:r>
          </w:p>
        </w:tc>
        <w:tc>
          <w:tcPr>
            <w:tcW w:w="544" w:type="pct"/>
            <w:shd w:val="clear" w:color="auto" w:fill="FFFFFF"/>
            <w:noWrap w:val="0"/>
            <w:vAlign w:val="center"/>
          </w:tcPr>
          <w:p w14:paraId="3A66285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3</w:t>
            </w:r>
          </w:p>
        </w:tc>
      </w:tr>
      <w:tr w14:paraId="07806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0" w:hRule="atLeast"/>
        </w:trPr>
        <w:tc>
          <w:tcPr>
            <w:tcW w:w="518" w:type="pct"/>
            <w:shd w:val="clear" w:color="auto" w:fill="FFFFFF"/>
            <w:noWrap w:val="0"/>
            <w:vAlign w:val="center"/>
          </w:tcPr>
          <w:p w14:paraId="30F1444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2</w:t>
            </w:r>
          </w:p>
        </w:tc>
        <w:tc>
          <w:tcPr>
            <w:tcW w:w="887" w:type="pct"/>
            <w:shd w:val="clear" w:color="auto" w:fill="FFFFFF"/>
            <w:noWrap w:val="0"/>
            <w:vAlign w:val="center"/>
          </w:tcPr>
          <w:p w14:paraId="03A15D3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同类项目业绩</w:t>
            </w:r>
          </w:p>
        </w:tc>
        <w:tc>
          <w:tcPr>
            <w:tcW w:w="3048" w:type="pct"/>
            <w:shd w:val="clear" w:color="auto" w:fill="FFFFFF"/>
            <w:noWrap w:val="0"/>
            <w:vAlign w:val="center"/>
          </w:tcPr>
          <w:p w14:paraId="69477FFB">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投标人202</w:t>
            </w:r>
            <w:r>
              <w:rPr>
                <w:rFonts w:hint="eastAsia" w:ascii="Times New Roman" w:hAnsi="Times New Roman" w:eastAsia="仿宋"/>
                <w:sz w:val="24"/>
                <w:szCs w:val="24"/>
                <w:lang w:val="en-US" w:eastAsia="zh-CN"/>
              </w:rPr>
              <w:t>2</w:t>
            </w:r>
            <w:r>
              <w:rPr>
                <w:rFonts w:hint="eastAsia" w:ascii="Times New Roman" w:hAnsi="Times New Roman" w:eastAsia="仿宋"/>
                <w:sz w:val="24"/>
                <w:szCs w:val="24"/>
              </w:rPr>
              <w:t>年1月1日至投标截止时间（以合同签订时间为准），具有同类项目（厨房</w:t>
            </w:r>
            <w:r>
              <w:rPr>
                <w:rFonts w:hint="eastAsia" w:ascii="Times New Roman" w:hAnsi="Times New Roman" w:eastAsia="仿宋"/>
                <w:sz w:val="24"/>
                <w:szCs w:val="24"/>
                <w:lang w:val="en-US" w:eastAsia="zh-CN"/>
              </w:rPr>
              <w:t>超声波鼓泡洗菜池(多功能清洗机）</w:t>
            </w:r>
            <w:r>
              <w:rPr>
                <w:rFonts w:hint="eastAsia" w:ascii="Times New Roman" w:hAnsi="Times New Roman" w:eastAsia="仿宋"/>
                <w:sz w:val="24"/>
                <w:szCs w:val="24"/>
              </w:rPr>
              <w:t>供货及安装）业绩的，每一个得1分，最高得</w:t>
            </w:r>
            <w:r>
              <w:rPr>
                <w:rFonts w:hint="eastAsia" w:ascii="Times New Roman" w:hAnsi="Times New Roman" w:eastAsia="仿宋"/>
                <w:sz w:val="24"/>
                <w:szCs w:val="24"/>
                <w:lang w:val="en-US" w:eastAsia="zh-CN"/>
              </w:rPr>
              <w:t>5</w:t>
            </w:r>
            <w:r>
              <w:rPr>
                <w:rFonts w:hint="eastAsia" w:ascii="Times New Roman" w:hAnsi="Times New Roman" w:eastAsia="仿宋"/>
                <w:sz w:val="24"/>
                <w:szCs w:val="24"/>
              </w:rPr>
              <w:t>分。</w:t>
            </w:r>
          </w:p>
          <w:p w14:paraId="719602B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注：提供合同复印件和验收单并加盖公章，要求合同内容能体现供货设备内容，否则不得分。</w:t>
            </w:r>
          </w:p>
        </w:tc>
        <w:tc>
          <w:tcPr>
            <w:tcW w:w="544" w:type="pct"/>
            <w:shd w:val="clear" w:color="auto" w:fill="FFFFFF"/>
            <w:noWrap w:val="0"/>
            <w:vAlign w:val="center"/>
          </w:tcPr>
          <w:p w14:paraId="752FE75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58CEC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7E30401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3</w:t>
            </w:r>
          </w:p>
        </w:tc>
        <w:tc>
          <w:tcPr>
            <w:tcW w:w="887" w:type="pct"/>
            <w:shd w:val="clear" w:color="auto" w:fill="FFFFFF"/>
            <w:noWrap w:val="0"/>
            <w:vAlign w:val="center"/>
          </w:tcPr>
          <w:p w14:paraId="35E89BF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配置响应情况</w:t>
            </w:r>
          </w:p>
        </w:tc>
        <w:tc>
          <w:tcPr>
            <w:tcW w:w="3048" w:type="pct"/>
            <w:shd w:val="clear" w:color="auto" w:fill="auto"/>
            <w:noWrap w:val="0"/>
            <w:vAlign w:val="center"/>
          </w:tcPr>
          <w:p w14:paraId="493DA2A6">
            <w:pPr>
              <w:spacing w:line="360" w:lineRule="auto"/>
              <w:ind w:left="0" w:leftChars="0" w:right="-21" w:rightChars="-10" w:firstLine="0" w:firstLineChars="0"/>
              <w:jc w:val="left"/>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szCs w:val="24"/>
              </w:rPr>
              <w:t>针对</w:t>
            </w:r>
            <w:r>
              <w:rPr>
                <w:rFonts w:ascii="Times New Roman" w:hAnsi="Times New Roman" w:eastAsia="仿宋"/>
                <w:sz w:val="24"/>
                <w:szCs w:val="24"/>
              </w:rPr>
              <w:t>招标</w:t>
            </w:r>
            <w:r>
              <w:rPr>
                <w:rFonts w:hint="eastAsia" w:ascii="Times New Roman" w:hAnsi="Times New Roman" w:eastAsia="仿宋"/>
                <w:sz w:val="24"/>
                <w:szCs w:val="24"/>
              </w:rPr>
              <w:t>文件</w:t>
            </w:r>
            <w:r>
              <w:rPr>
                <w:rFonts w:ascii="Times New Roman" w:hAnsi="Times New Roman" w:eastAsia="仿宋"/>
                <w:sz w:val="24"/>
                <w:szCs w:val="24"/>
              </w:rPr>
              <w:t>中</w:t>
            </w:r>
            <w:r>
              <w:rPr>
                <w:rFonts w:hint="eastAsia" w:ascii="Times New Roman" w:hAnsi="Times New Roman" w:eastAsia="仿宋"/>
                <w:sz w:val="24"/>
                <w:szCs w:val="24"/>
              </w:rPr>
              <w:t>货物的响应情况。</w:t>
            </w:r>
          </w:p>
        </w:tc>
        <w:tc>
          <w:tcPr>
            <w:tcW w:w="544" w:type="pct"/>
            <w:shd w:val="clear" w:color="auto" w:fill="FFFFFF"/>
            <w:noWrap w:val="0"/>
            <w:vAlign w:val="center"/>
          </w:tcPr>
          <w:p w14:paraId="23C45C5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20</w:t>
            </w:r>
          </w:p>
        </w:tc>
      </w:tr>
      <w:tr w14:paraId="4E3503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0245CB0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2"/>
                <w:sz w:val="24"/>
                <w:szCs w:val="24"/>
                <w:highlight w:val="none"/>
                <w:u w:val="none"/>
                <w:lang w:val="en-US" w:eastAsia="zh-CN" w:bidi="ar-SA"/>
              </w:rPr>
              <w:t>4</w:t>
            </w:r>
          </w:p>
        </w:tc>
        <w:tc>
          <w:tcPr>
            <w:tcW w:w="887" w:type="pct"/>
            <w:shd w:val="clear" w:color="auto" w:fill="FFFFFF"/>
            <w:noWrap w:val="0"/>
            <w:vAlign w:val="center"/>
          </w:tcPr>
          <w:p w14:paraId="3238152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2"/>
                <w:sz w:val="24"/>
                <w:szCs w:val="24"/>
                <w:highlight w:val="none"/>
                <w:u w:val="none"/>
                <w:lang w:val="en-US" w:eastAsia="zh-CN" w:bidi="ar-SA"/>
              </w:rPr>
              <w:t>招标需求承诺</w:t>
            </w:r>
          </w:p>
        </w:tc>
        <w:tc>
          <w:tcPr>
            <w:tcW w:w="3048" w:type="pct"/>
            <w:shd w:val="clear" w:color="auto" w:fill="FFFFFF"/>
            <w:noWrap w:val="0"/>
            <w:vAlign w:val="center"/>
          </w:tcPr>
          <w:p w14:paraId="7B8E307E">
            <w:pPr>
              <w:spacing w:line="360" w:lineRule="auto"/>
              <w:ind w:left="0" w:leftChars="0" w:right="-21" w:rightChars="-10"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sz w:val="24"/>
                <w:szCs w:val="24"/>
              </w:rPr>
              <w:t>承诺交货期满足招标需求的。</w:t>
            </w:r>
          </w:p>
        </w:tc>
        <w:tc>
          <w:tcPr>
            <w:tcW w:w="544" w:type="pct"/>
            <w:shd w:val="clear" w:color="auto" w:fill="FFFFFF"/>
            <w:noWrap w:val="0"/>
            <w:vAlign w:val="center"/>
          </w:tcPr>
          <w:p w14:paraId="653DAB0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2</w:t>
            </w:r>
          </w:p>
        </w:tc>
      </w:tr>
      <w:tr w14:paraId="03F5E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7846989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5</w:t>
            </w:r>
          </w:p>
        </w:tc>
        <w:tc>
          <w:tcPr>
            <w:tcW w:w="887" w:type="pct"/>
            <w:shd w:val="clear" w:color="auto" w:fill="FFFFFF"/>
            <w:noWrap w:val="0"/>
            <w:vAlign w:val="center"/>
          </w:tcPr>
          <w:p w14:paraId="7B55059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拟定方案</w:t>
            </w:r>
          </w:p>
        </w:tc>
        <w:tc>
          <w:tcPr>
            <w:tcW w:w="3048" w:type="pct"/>
            <w:shd w:val="clear" w:color="auto" w:fill="FFFFFF"/>
            <w:noWrap w:val="0"/>
            <w:vAlign w:val="center"/>
          </w:tcPr>
          <w:p w14:paraId="12EEE43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sz w:val="24"/>
                <w:szCs w:val="24"/>
              </w:rPr>
              <w:t>根据</w:t>
            </w:r>
            <w:r>
              <w:rPr>
                <w:rFonts w:ascii="Times New Roman" w:hAnsi="Times New Roman" w:eastAsia="仿宋"/>
                <w:sz w:val="24"/>
                <w:szCs w:val="24"/>
              </w:rPr>
              <w:t>拟定的进度计划及质量控制方案</w:t>
            </w:r>
            <w:r>
              <w:rPr>
                <w:rFonts w:hint="eastAsia" w:ascii="Times New Roman" w:hAnsi="Times New Roman" w:eastAsia="仿宋"/>
                <w:sz w:val="24"/>
                <w:szCs w:val="24"/>
              </w:rPr>
              <w:t>的针对性、合理性</w:t>
            </w:r>
            <w:r>
              <w:rPr>
                <w:rFonts w:ascii="Times New Roman" w:hAnsi="Times New Roman" w:eastAsia="仿宋"/>
                <w:sz w:val="24"/>
                <w:szCs w:val="24"/>
              </w:rPr>
              <w:t>进行评审。</w:t>
            </w:r>
          </w:p>
        </w:tc>
        <w:tc>
          <w:tcPr>
            <w:tcW w:w="544" w:type="pct"/>
            <w:shd w:val="clear" w:color="auto" w:fill="FFFFFF"/>
            <w:noWrap w:val="0"/>
            <w:vAlign w:val="center"/>
          </w:tcPr>
          <w:p w14:paraId="4FA53B1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5A4C60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34AFB5C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6</w:t>
            </w:r>
          </w:p>
        </w:tc>
        <w:tc>
          <w:tcPr>
            <w:tcW w:w="887" w:type="pct"/>
            <w:shd w:val="clear" w:color="auto" w:fill="FFFFFF"/>
            <w:noWrap w:val="0"/>
            <w:vAlign w:val="center"/>
          </w:tcPr>
          <w:p w14:paraId="2CFEDB3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实施方案</w:t>
            </w:r>
          </w:p>
        </w:tc>
        <w:tc>
          <w:tcPr>
            <w:tcW w:w="3048" w:type="pct"/>
            <w:shd w:val="clear" w:color="auto" w:fill="FFFFFF"/>
            <w:noWrap w:val="0"/>
            <w:vAlign w:val="center"/>
          </w:tcPr>
          <w:p w14:paraId="1E5226F8">
            <w:pPr>
              <w:spacing w:line="360" w:lineRule="auto"/>
              <w:ind w:left="0" w:leftChars="0" w:right="-21" w:rightChars="-10" w:firstLine="0" w:firstLineChars="0"/>
              <w:jc w:val="left"/>
              <w:rPr>
                <w:rFonts w:hint="eastAsia" w:ascii="Times New Roman" w:hAnsi="Times New Roman" w:eastAsia="仿宋"/>
                <w:sz w:val="24"/>
                <w:szCs w:val="24"/>
              </w:rPr>
            </w:pPr>
            <w:bookmarkStart w:id="44" w:name="_Toc98156039"/>
            <w:bookmarkStart w:id="45" w:name="_Toc98156111"/>
            <w:r>
              <w:rPr>
                <w:rFonts w:hint="eastAsia" w:ascii="Times New Roman" w:hAnsi="Times New Roman" w:eastAsia="仿宋"/>
                <w:sz w:val="24"/>
                <w:szCs w:val="24"/>
              </w:rPr>
              <w:t>根据</w:t>
            </w:r>
            <w:r>
              <w:rPr>
                <w:rFonts w:ascii="Times New Roman" w:hAnsi="Times New Roman" w:eastAsia="仿宋"/>
                <w:sz w:val="24"/>
                <w:szCs w:val="24"/>
              </w:rPr>
              <w:t>拟定的</w:t>
            </w:r>
            <w:r>
              <w:rPr>
                <w:rFonts w:hint="eastAsia" w:ascii="Times New Roman" w:hAnsi="Times New Roman" w:eastAsia="仿宋"/>
                <w:sz w:val="24"/>
                <w:szCs w:val="24"/>
              </w:rPr>
              <w:t>实施方案的针对性、合理性进行评审。</w:t>
            </w:r>
          </w:p>
          <w:p w14:paraId="391746C7">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（1）产品设计制作及方案。（5分）</w:t>
            </w:r>
          </w:p>
          <w:p w14:paraId="004F4C27">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（2）整体设备设施供货、安装方案。（5分）</w:t>
            </w:r>
          </w:p>
          <w:p w14:paraId="01C932B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（3）设备设施调试及验收方案。（5分）</w:t>
            </w:r>
            <w:bookmarkEnd w:id="44"/>
            <w:bookmarkEnd w:id="45"/>
          </w:p>
        </w:tc>
        <w:tc>
          <w:tcPr>
            <w:tcW w:w="544" w:type="pct"/>
            <w:shd w:val="clear" w:color="auto" w:fill="FFFFFF"/>
            <w:noWrap w:val="0"/>
            <w:vAlign w:val="center"/>
          </w:tcPr>
          <w:p w14:paraId="57EA09F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15</w:t>
            </w:r>
          </w:p>
        </w:tc>
      </w:tr>
      <w:tr w14:paraId="00832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vMerge w:val="restart"/>
            <w:shd w:val="clear" w:color="auto" w:fill="FFFFFF"/>
            <w:noWrap w:val="0"/>
            <w:vAlign w:val="center"/>
          </w:tcPr>
          <w:p w14:paraId="4FA208A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7</w:t>
            </w:r>
          </w:p>
        </w:tc>
        <w:tc>
          <w:tcPr>
            <w:tcW w:w="887" w:type="pct"/>
            <w:vMerge w:val="restart"/>
            <w:shd w:val="clear" w:color="auto" w:fill="FFFFFF"/>
            <w:noWrap w:val="0"/>
            <w:vAlign w:val="center"/>
          </w:tcPr>
          <w:p w14:paraId="20D48D7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质量保障</w:t>
            </w:r>
          </w:p>
        </w:tc>
        <w:tc>
          <w:tcPr>
            <w:tcW w:w="3048" w:type="pct"/>
            <w:shd w:val="clear" w:color="auto" w:fill="FFFFFF"/>
            <w:noWrap w:val="0"/>
            <w:vAlign w:val="center"/>
          </w:tcPr>
          <w:p w14:paraId="7622751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设备设施整体的质保期为5年的不得分；质保期在5年以上的，每增加1年得1分，不足1年的不得分；最高得</w:t>
            </w:r>
            <w:r>
              <w:rPr>
                <w:rFonts w:hint="eastAsia" w:ascii="Times New Roman" w:hAnsi="Times New Roman" w:eastAsia="仿宋"/>
                <w:sz w:val="24"/>
                <w:szCs w:val="24"/>
                <w:lang w:val="en-US" w:eastAsia="zh-CN"/>
              </w:rPr>
              <w:t>2</w:t>
            </w:r>
            <w:r>
              <w:rPr>
                <w:rFonts w:hint="eastAsia" w:ascii="Times New Roman" w:hAnsi="Times New Roman" w:eastAsia="仿宋"/>
                <w:sz w:val="24"/>
                <w:szCs w:val="24"/>
              </w:rPr>
              <w:t>分。</w:t>
            </w:r>
          </w:p>
        </w:tc>
        <w:tc>
          <w:tcPr>
            <w:tcW w:w="544" w:type="pct"/>
            <w:shd w:val="clear" w:color="auto" w:fill="FFFFFF"/>
            <w:noWrap w:val="0"/>
            <w:vAlign w:val="center"/>
          </w:tcPr>
          <w:p w14:paraId="438CC78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2</w:t>
            </w:r>
          </w:p>
        </w:tc>
      </w:tr>
      <w:tr w14:paraId="0A9134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vMerge w:val="continue"/>
            <w:shd w:val="clear" w:color="auto" w:fill="FFFFFF"/>
            <w:noWrap w:val="0"/>
            <w:vAlign w:val="center"/>
          </w:tcPr>
          <w:p w14:paraId="302868D3">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仿宋" w:cs="仿宋"/>
                <w:i w:val="0"/>
                <w:iCs w:val="0"/>
                <w:color w:val="000000"/>
                <w:sz w:val="24"/>
                <w:szCs w:val="24"/>
                <w:highlight w:val="none"/>
                <w:u w:val="none"/>
              </w:rPr>
            </w:pPr>
          </w:p>
        </w:tc>
        <w:tc>
          <w:tcPr>
            <w:tcW w:w="887" w:type="pct"/>
            <w:vMerge w:val="continue"/>
            <w:shd w:val="clear" w:color="auto" w:fill="FFFFFF"/>
            <w:noWrap w:val="0"/>
            <w:vAlign w:val="center"/>
          </w:tcPr>
          <w:p w14:paraId="559D4DF7">
            <w:pPr>
              <w:keepNext w:val="0"/>
              <w:keepLines w:val="0"/>
              <w:pageBreakBefore w:val="0"/>
              <w:kinsoku/>
              <w:wordWrap/>
              <w:overflowPunct/>
              <w:topLinePunct w:val="0"/>
              <w:autoSpaceDE/>
              <w:autoSpaceDN/>
              <w:bidi w:val="0"/>
              <w:spacing w:line="360" w:lineRule="auto"/>
              <w:ind w:left="0" w:leftChars="0" w:firstLine="0" w:firstLineChars="0"/>
              <w:jc w:val="left"/>
              <w:rPr>
                <w:rFonts w:hint="eastAsia" w:ascii="Times New Roman" w:hAnsi="Times New Roman" w:eastAsia="仿宋" w:cs="仿宋"/>
                <w:i w:val="0"/>
                <w:iCs w:val="0"/>
                <w:color w:val="000000"/>
                <w:sz w:val="24"/>
                <w:szCs w:val="24"/>
                <w:highlight w:val="none"/>
                <w:u w:val="none"/>
                <w:lang w:val="en-US" w:eastAsia="zh-CN"/>
              </w:rPr>
            </w:pPr>
          </w:p>
        </w:tc>
        <w:tc>
          <w:tcPr>
            <w:tcW w:w="3048" w:type="pct"/>
            <w:shd w:val="clear" w:color="auto" w:fill="FFFFFF"/>
            <w:noWrap w:val="0"/>
            <w:vAlign w:val="center"/>
          </w:tcPr>
          <w:p w14:paraId="639FC72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根据投标人的产品质量保证措施的针对性、合理性进行评审。</w:t>
            </w:r>
          </w:p>
        </w:tc>
        <w:tc>
          <w:tcPr>
            <w:tcW w:w="544" w:type="pct"/>
            <w:shd w:val="clear" w:color="auto" w:fill="FFFFFF"/>
            <w:noWrap w:val="0"/>
            <w:vAlign w:val="center"/>
          </w:tcPr>
          <w:p w14:paraId="6CE1083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8</w:t>
            </w:r>
          </w:p>
        </w:tc>
      </w:tr>
      <w:tr w14:paraId="46593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60E685A6">
            <w:pPr>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8</w:t>
            </w:r>
          </w:p>
        </w:tc>
        <w:tc>
          <w:tcPr>
            <w:tcW w:w="887" w:type="pct"/>
            <w:shd w:val="clear" w:color="auto" w:fill="FFFFFF"/>
            <w:noWrap w:val="0"/>
            <w:vAlign w:val="center"/>
          </w:tcPr>
          <w:p w14:paraId="110092B1">
            <w:pPr>
              <w:keepNext w:val="0"/>
              <w:keepLines w:val="0"/>
              <w:pageBreakBefore w:val="0"/>
              <w:kinsoku/>
              <w:wordWrap/>
              <w:overflowPunct/>
              <w:topLinePunct w:val="0"/>
              <w:autoSpaceDE/>
              <w:autoSpaceDN/>
              <w:bidi w:val="0"/>
              <w:spacing w:line="360" w:lineRule="auto"/>
              <w:ind w:left="0" w:leftChars="0" w:firstLine="0" w:firstLineChars="0"/>
              <w:jc w:val="left"/>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人员情况</w:t>
            </w:r>
          </w:p>
        </w:tc>
        <w:tc>
          <w:tcPr>
            <w:tcW w:w="3048" w:type="pct"/>
            <w:shd w:val="clear" w:color="auto" w:fill="FFFFFF"/>
            <w:noWrap w:val="0"/>
            <w:vAlign w:val="center"/>
          </w:tcPr>
          <w:p w14:paraId="2C39D68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sz w:val="24"/>
                <w:szCs w:val="24"/>
              </w:rPr>
            </w:pPr>
            <w:r>
              <w:rPr>
                <w:rFonts w:hint="eastAsia" w:ascii="Times New Roman" w:hAnsi="Times New Roman" w:eastAsia="仿宋"/>
                <w:sz w:val="24"/>
                <w:szCs w:val="24"/>
              </w:rPr>
              <w:t>根据派驻现场的项目组成员的配置和劳动力投入情况进行评审。</w:t>
            </w:r>
          </w:p>
        </w:tc>
        <w:tc>
          <w:tcPr>
            <w:tcW w:w="544" w:type="pct"/>
            <w:shd w:val="clear" w:color="auto" w:fill="FFFFFF"/>
            <w:noWrap w:val="0"/>
            <w:vAlign w:val="center"/>
          </w:tcPr>
          <w:p w14:paraId="65E93C3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3268BD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2156048A">
            <w:pPr>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9</w:t>
            </w:r>
          </w:p>
        </w:tc>
        <w:tc>
          <w:tcPr>
            <w:tcW w:w="887" w:type="pct"/>
            <w:shd w:val="clear" w:color="auto" w:fill="FFFFFF"/>
            <w:noWrap w:val="0"/>
            <w:vAlign w:val="center"/>
          </w:tcPr>
          <w:p w14:paraId="38308A0E">
            <w:pPr>
              <w:keepNext w:val="0"/>
              <w:keepLines w:val="0"/>
              <w:pageBreakBefore w:val="0"/>
              <w:kinsoku/>
              <w:wordWrap/>
              <w:overflowPunct/>
              <w:topLinePunct w:val="0"/>
              <w:autoSpaceDE/>
              <w:autoSpaceDN/>
              <w:bidi w:val="0"/>
              <w:spacing w:line="360" w:lineRule="auto"/>
              <w:ind w:left="0" w:leftChars="0" w:firstLine="0" w:firstLineChars="0"/>
              <w:jc w:val="left"/>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售后服务</w:t>
            </w:r>
          </w:p>
        </w:tc>
        <w:tc>
          <w:tcPr>
            <w:tcW w:w="3048" w:type="pct"/>
            <w:shd w:val="clear" w:color="auto" w:fill="FFFFFF"/>
            <w:noWrap w:val="0"/>
            <w:vAlign w:val="center"/>
          </w:tcPr>
          <w:p w14:paraId="455F5E77">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根据售后服务及培训服务方案进行评审。</w:t>
            </w:r>
          </w:p>
        </w:tc>
        <w:tc>
          <w:tcPr>
            <w:tcW w:w="544" w:type="pct"/>
            <w:shd w:val="clear" w:color="auto" w:fill="FFFFFF"/>
            <w:noWrap w:val="0"/>
            <w:vAlign w:val="center"/>
          </w:tcPr>
          <w:p w14:paraId="5E1F128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bl>
    <w:p w14:paraId="00F874BC">
      <w:pPr>
        <w:snapToGrid w:val="0"/>
        <w:spacing w:line="360" w:lineRule="auto"/>
        <w:rPr>
          <w:rFonts w:hint="eastAsia" w:ascii="仿宋" w:hAnsi="仿宋" w:eastAsia="仿宋" w:cs="仿宋"/>
          <w:caps w:val="0"/>
          <w:color w:val="auto"/>
          <w:sz w:val="24"/>
          <w:szCs w:val="24"/>
          <w:highlight w:val="none"/>
        </w:rPr>
      </w:pPr>
    </w:p>
    <w:p w14:paraId="2E3DC83A">
      <w:pPr>
        <w:snapToGrid w:val="0"/>
        <w:spacing w:line="360" w:lineRule="auto"/>
        <w:ind w:firstLine="480" w:firstLineChars="200"/>
        <w:rPr>
          <w:rFonts w:hint="default"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.2 报价部分</w:t>
      </w:r>
      <w:r>
        <w:rPr>
          <w:rFonts w:hint="eastAsia" w:ascii="仿宋" w:hAnsi="仿宋" w:eastAsia="仿宋" w:cs="仿宋"/>
          <w:caps w:val="0"/>
          <w:color w:val="auto"/>
          <w:sz w:val="24"/>
          <w:szCs w:val="24"/>
          <w:highlight w:val="none"/>
          <w:lang w:val="en-US" w:eastAsia="zh-CN"/>
        </w:rPr>
        <w:t>(30分）</w:t>
      </w:r>
    </w:p>
    <w:p w14:paraId="48C6217A">
      <w:pPr>
        <w:keepNext w:val="0"/>
        <w:keepLines w:val="0"/>
        <w:pageBreakBefore w:val="0"/>
        <w:widowControl/>
        <w:suppressLineNumbers w:val="0"/>
        <w:kinsoku/>
        <w:wordWrap/>
        <w:overflowPunct/>
        <w:topLinePunct w:val="0"/>
        <w:autoSpaceDE/>
        <w:autoSpaceDN/>
        <w:bidi w:val="0"/>
        <w:spacing w:line="360" w:lineRule="auto"/>
        <w:ind w:left="0" w:leftChars="0" w:firstLine="482" w:firstLineChars="200"/>
        <w:jc w:val="left"/>
        <w:textAlignment w:val="center"/>
        <w:rPr>
          <w:rFonts w:hint="eastAsia" w:ascii="Times New Roman" w:hAnsi="Times New Roman" w:eastAsia="仿宋"/>
          <w:b/>
          <w:bCs/>
          <w:sz w:val="24"/>
          <w:szCs w:val="24"/>
        </w:rPr>
      </w:pPr>
      <w:r>
        <w:rPr>
          <w:rFonts w:hint="eastAsia" w:ascii="Times New Roman" w:hAnsi="Times New Roman" w:eastAsia="仿宋"/>
          <w:b/>
          <w:bCs/>
          <w:sz w:val="24"/>
          <w:szCs w:val="24"/>
        </w:rPr>
        <w:t>价格分采用低价优先法计算，即满足招标文件要求且投标价格最低的投标报价为评标基准价，其价格分为满分。其他投标人的价格分按照下列公式计算：</w:t>
      </w:r>
    </w:p>
    <w:p w14:paraId="0D05ACB5">
      <w:pPr>
        <w:snapToGrid w:val="0"/>
        <w:spacing w:line="360" w:lineRule="auto"/>
        <w:ind w:firstLine="482" w:firstLineChars="200"/>
        <w:rPr>
          <w:rFonts w:hint="eastAsia" w:ascii="Times New Roman" w:hAnsi="Times New Roman" w:eastAsia="仿宋"/>
          <w:b/>
          <w:bCs/>
          <w:sz w:val="24"/>
          <w:szCs w:val="24"/>
        </w:rPr>
      </w:pPr>
      <w:r>
        <w:rPr>
          <w:rFonts w:hint="eastAsia" w:ascii="Times New Roman" w:hAnsi="Times New Roman" w:eastAsia="仿宋"/>
          <w:b/>
          <w:bCs/>
          <w:sz w:val="24"/>
          <w:szCs w:val="24"/>
        </w:rPr>
        <w:t>价格分=（评标基准价/投标报价）×30%×100</w:t>
      </w:r>
    </w:p>
    <w:p w14:paraId="21D5FB16">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.3其他</w:t>
      </w:r>
    </w:p>
    <w:p w14:paraId="14B85CE9">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评分时保留小数点后1位小数，计算评分值时保留小数点后2位小数，由</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小组统一计算。</w:t>
      </w:r>
    </w:p>
    <w:p w14:paraId="227C4E1B">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响应供应商的最终总得分</w:t>
      </w:r>
      <w:r>
        <w:rPr>
          <w:rFonts w:hint="eastAsia" w:ascii="仿宋" w:hAnsi="仿宋" w:eastAsia="仿宋" w:cs="仿宋"/>
          <w:caps w:val="0"/>
          <w:color w:val="auto"/>
          <w:sz w:val="24"/>
          <w:szCs w:val="24"/>
          <w:highlight w:val="none"/>
          <w:lang w:val="en-US" w:eastAsia="zh-CN"/>
        </w:rPr>
        <w:t>=</w:t>
      </w:r>
      <w:r>
        <w:rPr>
          <w:rFonts w:hint="eastAsia" w:ascii="仿宋" w:hAnsi="仿宋" w:eastAsia="仿宋" w:cs="仿宋"/>
          <w:caps w:val="0"/>
          <w:color w:val="auto"/>
          <w:sz w:val="24"/>
          <w:szCs w:val="24"/>
          <w:highlight w:val="none"/>
        </w:rPr>
        <w:t>商务技术资信分</w:t>
      </w:r>
      <w:r>
        <w:rPr>
          <w:rFonts w:hint="eastAsia" w:ascii="仿宋" w:hAnsi="仿宋" w:eastAsia="仿宋" w:cs="仿宋"/>
          <w:caps w:val="0"/>
          <w:color w:val="auto"/>
          <w:sz w:val="24"/>
          <w:szCs w:val="24"/>
          <w:highlight w:val="none"/>
          <w:lang w:val="en-US" w:eastAsia="zh-CN"/>
        </w:rPr>
        <w:t>+价格分</w:t>
      </w:r>
      <w:r>
        <w:rPr>
          <w:rFonts w:hint="eastAsia" w:ascii="仿宋" w:hAnsi="仿宋" w:eastAsia="仿宋" w:cs="仿宋"/>
          <w:caps w:val="0"/>
          <w:color w:val="auto"/>
          <w:sz w:val="24"/>
          <w:szCs w:val="24"/>
          <w:highlight w:val="none"/>
        </w:rPr>
        <w:t>。</w:t>
      </w:r>
    </w:p>
    <w:p w14:paraId="6167C74A">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 xml:space="preserve">.4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文件没有规定的评审标准不作为评审依据。</w:t>
      </w:r>
    </w:p>
    <w:p w14:paraId="69C54552">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 xml:space="preserve">.5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小组成员独立对每个有效响应的文件进行评价、打分，所有</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小组成员的打分平均值为每个供应商的得分。</w:t>
      </w:r>
    </w:p>
    <w:p w14:paraId="4E548F45">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1</w:t>
      </w:r>
      <w:r>
        <w:rPr>
          <w:rFonts w:hint="eastAsia" w:ascii="仿宋" w:hAnsi="仿宋" w:eastAsia="仿宋" w:cs="仿宋"/>
          <w:b/>
          <w:caps w:val="0"/>
          <w:color w:val="auto"/>
          <w:sz w:val="24"/>
          <w:szCs w:val="24"/>
          <w:highlight w:val="none"/>
        </w:rPr>
        <w:t>.推荐成交候选供应商</w:t>
      </w:r>
    </w:p>
    <w:p w14:paraId="3861F4B7">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042FCD00">
      <w:pPr>
        <w:pStyle w:val="3"/>
        <w:spacing w:before="120" w:after="120" w:line="360" w:lineRule="auto"/>
        <w:rPr>
          <w:rFonts w:hint="eastAsia" w:ascii="仿宋" w:hAnsi="仿宋" w:eastAsia="仿宋" w:cs="仿宋"/>
          <w:b w:val="0"/>
          <w:caps w:val="0"/>
          <w:color w:val="auto"/>
          <w:highlight w:val="none"/>
        </w:rPr>
      </w:pPr>
      <w:bookmarkStart w:id="46" w:name="_Toc472544479"/>
    </w:p>
    <w:p w14:paraId="5BF15AB6">
      <w:pPr>
        <w:pStyle w:val="3"/>
        <w:spacing w:before="120" w:after="120" w:line="360" w:lineRule="auto"/>
        <w:rPr>
          <w:rFonts w:hint="eastAsia" w:ascii="仿宋" w:hAnsi="仿宋" w:eastAsia="仿宋" w:cs="仿宋"/>
          <w:b w:val="0"/>
          <w:caps w:val="0"/>
          <w:color w:val="auto"/>
          <w:highlight w:val="none"/>
        </w:rPr>
      </w:pPr>
      <w:r>
        <w:rPr>
          <w:rFonts w:hint="eastAsia" w:ascii="仿宋" w:hAnsi="仿宋" w:eastAsia="仿宋" w:cs="仿宋"/>
          <w:b w:val="0"/>
          <w:caps w:val="0"/>
          <w:color w:val="auto"/>
          <w:highlight w:val="none"/>
        </w:rPr>
        <w:t>八、确定成交供应商</w:t>
      </w:r>
      <w:bookmarkEnd w:id="46"/>
    </w:p>
    <w:p w14:paraId="033668E2">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2</w:t>
      </w:r>
      <w:r>
        <w:rPr>
          <w:rFonts w:hint="eastAsia" w:ascii="仿宋" w:hAnsi="仿宋" w:eastAsia="仿宋" w:cs="仿宋"/>
          <w:b/>
          <w:caps w:val="0"/>
          <w:color w:val="auto"/>
          <w:sz w:val="24"/>
          <w:szCs w:val="24"/>
          <w:highlight w:val="none"/>
        </w:rPr>
        <w:t>.确定成交供应商</w:t>
      </w:r>
    </w:p>
    <w:p w14:paraId="6484F875">
      <w:pPr>
        <w:adjustRightInd w:val="0"/>
        <w:spacing w:line="341"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.1采购人应当在收到评审报告后5个工作日内，从评审报告提出的成交候选供应商中，按照排序由高到低的原则确定成交供应商，也可以书面授权</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小组直接确定成交供应商。采购人逾期未确定成交供应商且不提出异议的，视为确定评审报告提出的排序第一的供应商为成交供应商。</w:t>
      </w:r>
    </w:p>
    <w:p w14:paraId="4F7A5D00">
      <w:pPr>
        <w:adjustRightInd w:val="0"/>
        <w:spacing w:line="341"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.2采购人应当在成交供应商确定后2个工作日内，在</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公告发布媒体上公告成交结果，公示期3日。公示结束后，向成交供应商发出成交通知书。</w:t>
      </w:r>
    </w:p>
    <w:p w14:paraId="6BE362C7">
      <w:pPr>
        <w:pStyle w:val="3"/>
        <w:spacing w:before="120" w:after="120" w:line="360" w:lineRule="auto"/>
        <w:rPr>
          <w:rFonts w:hint="eastAsia" w:ascii="仿宋" w:hAnsi="仿宋" w:eastAsia="仿宋" w:cs="仿宋"/>
          <w:b w:val="0"/>
          <w:caps w:val="0"/>
          <w:color w:val="auto"/>
          <w:highlight w:val="none"/>
        </w:rPr>
      </w:pPr>
      <w:bookmarkStart w:id="47" w:name="_Toc207550888"/>
      <w:bookmarkStart w:id="48" w:name="_Toc472544480"/>
      <w:r>
        <w:rPr>
          <w:rFonts w:hint="eastAsia" w:ascii="仿宋" w:hAnsi="仿宋" w:eastAsia="仿宋" w:cs="仿宋"/>
          <w:b w:val="0"/>
          <w:caps w:val="0"/>
          <w:color w:val="auto"/>
          <w:highlight w:val="none"/>
        </w:rPr>
        <w:t>九、</w:t>
      </w:r>
      <w:bookmarkEnd w:id="47"/>
      <w:r>
        <w:rPr>
          <w:rFonts w:hint="eastAsia" w:ascii="仿宋" w:hAnsi="仿宋" w:eastAsia="仿宋" w:cs="仿宋"/>
          <w:b w:val="0"/>
          <w:caps w:val="0"/>
          <w:color w:val="auto"/>
          <w:highlight w:val="none"/>
        </w:rPr>
        <w:t>签订合同</w:t>
      </w:r>
      <w:bookmarkEnd w:id="48"/>
    </w:p>
    <w:p w14:paraId="4312C515">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3</w:t>
      </w:r>
      <w:r>
        <w:rPr>
          <w:rFonts w:hint="eastAsia" w:ascii="仿宋" w:hAnsi="仿宋" w:eastAsia="仿宋" w:cs="仿宋"/>
          <w:b/>
          <w:caps w:val="0"/>
          <w:color w:val="auto"/>
          <w:sz w:val="24"/>
          <w:szCs w:val="24"/>
          <w:highlight w:val="none"/>
        </w:rPr>
        <w:t>.签订合同</w:t>
      </w:r>
    </w:p>
    <w:p w14:paraId="5B56680D">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.1采购人与成交供应商应当在成交通知书发出之日起30日内，按照</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文件确定的合同文本以及采购标的和服务要求等事项签订采购合同。</w:t>
      </w:r>
    </w:p>
    <w:p w14:paraId="2C140DBD">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2成交供应商拒绝签订采购合同的，采购人可以选择排名第二的候选供应商作为成交供应商并签订采购合同，也可以重新开展采购活动。排名第二的候选供应商拒绝签订采购合同的，采购人可以选择排名第三的候选供应商作为成交供应商并签订采购合同，也可以重新开展采购活动。拒绝签订采购合同的成交供应商不得参加对该项目重新开展的采购活动。</w:t>
      </w:r>
    </w:p>
    <w:p w14:paraId="1A5515D2">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.3拒签合同的责任</w:t>
      </w:r>
    </w:p>
    <w:p w14:paraId="5D2D8703">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成交供应商接到成交通知书后，在规定时间内借故否认已经承诺的条件而拒签合同者，以</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违约处理，其</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保证金不予退回。成交供应商承担由此造成的直接经济损失，采购人保留向其索赔的权力。</w:t>
      </w:r>
    </w:p>
    <w:p w14:paraId="025DF06E">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14:paraId="640FBDCC">
      <w:pPr>
        <w:adjustRightIn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4</w:t>
      </w:r>
      <w:r>
        <w:rPr>
          <w:rFonts w:hint="eastAsia" w:ascii="仿宋" w:hAnsi="仿宋" w:eastAsia="仿宋" w:cs="仿宋"/>
          <w:b/>
          <w:caps w:val="0"/>
          <w:color w:val="auto"/>
          <w:sz w:val="24"/>
          <w:szCs w:val="24"/>
          <w:highlight w:val="none"/>
        </w:rPr>
        <w:t>．履约保证</w:t>
      </w:r>
    </w:p>
    <w:p w14:paraId="611337BB">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4</w:t>
      </w:r>
      <w:r>
        <w:rPr>
          <w:rFonts w:hint="eastAsia" w:ascii="仿宋" w:hAnsi="仿宋" w:eastAsia="仿宋" w:cs="仿宋"/>
          <w:caps w:val="0"/>
          <w:color w:val="auto"/>
          <w:sz w:val="24"/>
          <w:szCs w:val="24"/>
          <w:highlight w:val="none"/>
        </w:rPr>
        <w:t>.1本项目不收取履约保证金。</w:t>
      </w:r>
    </w:p>
    <w:p w14:paraId="58798A5D">
      <w:pPr>
        <w:adjustRightInd w:val="0"/>
        <w:spacing w:line="360" w:lineRule="auto"/>
        <w:ind w:firstLine="480" w:firstLineChars="200"/>
        <w:rPr>
          <w:rFonts w:hint="eastAsia" w:ascii="仿宋" w:hAnsi="仿宋" w:eastAsia="仿宋" w:cs="仿宋"/>
          <w:caps w:val="0"/>
          <w:color w:val="auto"/>
          <w:sz w:val="24"/>
          <w:szCs w:val="24"/>
          <w:highlight w:val="none"/>
        </w:rPr>
      </w:pPr>
    </w:p>
    <w:p w14:paraId="2E9ED736">
      <w:pPr>
        <w:adjustRightInd w:val="0"/>
        <w:spacing w:line="360" w:lineRule="auto"/>
        <w:ind w:firstLine="480" w:firstLineChars="200"/>
        <w:rPr>
          <w:rFonts w:hint="eastAsia" w:ascii="仿宋" w:hAnsi="仿宋" w:eastAsia="仿宋" w:cs="仿宋"/>
          <w:caps w:val="0"/>
          <w:color w:val="auto"/>
          <w:sz w:val="24"/>
          <w:szCs w:val="24"/>
          <w:highlight w:val="none"/>
        </w:rPr>
      </w:pPr>
    </w:p>
    <w:p w14:paraId="6FD816F1">
      <w:pPr>
        <w:adjustRightInd w:val="0"/>
        <w:spacing w:line="360" w:lineRule="auto"/>
        <w:ind w:firstLine="480" w:firstLineChars="200"/>
        <w:rPr>
          <w:rFonts w:hint="eastAsia" w:ascii="仿宋" w:hAnsi="仿宋" w:eastAsia="仿宋" w:cs="仿宋"/>
          <w:caps w:val="0"/>
          <w:color w:val="auto"/>
          <w:sz w:val="24"/>
          <w:szCs w:val="24"/>
          <w:highlight w:val="none"/>
        </w:rPr>
      </w:pPr>
    </w:p>
    <w:p w14:paraId="6B5B051F">
      <w:pPr>
        <w:adjustRightInd w:val="0"/>
        <w:spacing w:line="360" w:lineRule="auto"/>
        <w:ind w:firstLine="480" w:firstLineChars="200"/>
        <w:rPr>
          <w:rFonts w:hint="eastAsia" w:ascii="仿宋" w:hAnsi="仿宋" w:eastAsia="仿宋" w:cs="仿宋"/>
          <w:caps w:val="0"/>
          <w:color w:val="auto"/>
          <w:sz w:val="24"/>
          <w:szCs w:val="24"/>
          <w:highlight w:val="none"/>
        </w:rPr>
      </w:pPr>
    </w:p>
    <w:p w14:paraId="7B442498">
      <w:pPr>
        <w:adjustRightInd w:val="0"/>
        <w:spacing w:line="360" w:lineRule="auto"/>
        <w:ind w:firstLine="480" w:firstLineChars="200"/>
        <w:rPr>
          <w:rFonts w:hint="eastAsia" w:ascii="仿宋" w:hAnsi="仿宋" w:eastAsia="仿宋" w:cs="仿宋"/>
          <w:caps w:val="0"/>
          <w:color w:val="auto"/>
          <w:sz w:val="24"/>
          <w:szCs w:val="24"/>
          <w:highlight w:val="none"/>
        </w:rPr>
      </w:pPr>
    </w:p>
    <w:p w14:paraId="04B15A76">
      <w:pPr>
        <w:adjustRightInd w:val="0"/>
        <w:spacing w:line="360" w:lineRule="auto"/>
        <w:ind w:firstLine="480" w:firstLineChars="200"/>
        <w:rPr>
          <w:rFonts w:hint="eastAsia" w:ascii="仿宋" w:hAnsi="仿宋" w:eastAsia="仿宋" w:cs="仿宋"/>
          <w:caps w:val="0"/>
          <w:color w:val="auto"/>
          <w:sz w:val="24"/>
          <w:szCs w:val="24"/>
          <w:highlight w:val="none"/>
        </w:rPr>
      </w:pPr>
    </w:p>
    <w:p w14:paraId="6CD2AFBF">
      <w:pPr>
        <w:adjustRightInd w:val="0"/>
        <w:spacing w:line="360" w:lineRule="auto"/>
        <w:ind w:firstLine="480" w:firstLineChars="200"/>
        <w:rPr>
          <w:rFonts w:hint="eastAsia" w:ascii="仿宋" w:hAnsi="仿宋" w:eastAsia="仿宋" w:cs="仿宋"/>
          <w:caps w:val="0"/>
          <w:color w:val="auto"/>
          <w:sz w:val="24"/>
          <w:szCs w:val="24"/>
          <w:highlight w:val="none"/>
        </w:rPr>
      </w:pPr>
    </w:p>
    <w:p w14:paraId="79B63E8E">
      <w:pPr>
        <w:adjustRightInd w:val="0"/>
        <w:spacing w:line="360" w:lineRule="auto"/>
        <w:rPr>
          <w:rFonts w:hint="eastAsia" w:ascii="仿宋" w:hAnsi="仿宋" w:eastAsia="仿宋" w:cs="仿宋"/>
          <w:caps w:val="0"/>
          <w:color w:val="auto"/>
          <w:sz w:val="24"/>
          <w:szCs w:val="24"/>
          <w:highlight w:val="none"/>
        </w:rPr>
      </w:pPr>
    </w:p>
    <w:bookmarkEnd w:id="12"/>
    <w:bookmarkEnd w:id="13"/>
    <w:bookmarkEnd w:id="42"/>
    <w:p w14:paraId="26DC09DC">
      <w:pPr>
        <w:pStyle w:val="2"/>
        <w:snapToGrid w:val="0"/>
        <w:spacing w:before="0" w:after="0"/>
        <w:rPr>
          <w:rFonts w:hint="eastAsia" w:ascii="仿宋" w:hAnsi="仿宋" w:eastAsia="仿宋" w:cs="仿宋"/>
          <w:caps w:val="0"/>
          <w:color w:val="auto"/>
          <w:sz w:val="32"/>
          <w:highlight w:val="none"/>
        </w:rPr>
      </w:pPr>
      <w:bookmarkStart w:id="49" w:name="_Toc171394922"/>
      <w:bookmarkStart w:id="50" w:name="_Toc118516218"/>
      <w:bookmarkStart w:id="51" w:name="_Toc472544483"/>
      <w:r>
        <w:rPr>
          <w:rFonts w:hint="eastAsia" w:ascii="仿宋" w:hAnsi="仿宋" w:eastAsia="仿宋" w:cs="仿宋"/>
          <w:caps w:val="0"/>
          <w:color w:val="auto"/>
          <w:sz w:val="32"/>
          <w:highlight w:val="none"/>
        </w:rPr>
        <w:t>第三部分</w:t>
      </w:r>
      <w:bookmarkEnd w:id="49"/>
      <w:bookmarkEnd w:id="50"/>
      <w:r>
        <w:rPr>
          <w:rFonts w:hint="eastAsia" w:ascii="仿宋" w:hAnsi="仿宋" w:eastAsia="仿宋" w:cs="仿宋"/>
          <w:caps w:val="0"/>
          <w:color w:val="auto"/>
          <w:sz w:val="32"/>
          <w:highlight w:val="none"/>
        </w:rPr>
        <w:t xml:space="preserve"> 用户需求书</w:t>
      </w:r>
      <w:bookmarkEnd w:id="51"/>
    </w:p>
    <w:p w14:paraId="41EF5832">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一、项目概况</w:t>
      </w:r>
    </w:p>
    <w:p w14:paraId="67C9BFC3">
      <w:pPr>
        <w:pStyle w:val="5"/>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浙江中医药大学附属第二医院</w:t>
      </w:r>
      <w:r>
        <w:rPr>
          <w:rFonts w:hint="eastAsia" w:ascii="仿宋" w:hAnsi="仿宋" w:eastAsia="仿宋" w:cs="仿宋"/>
          <w:caps w:val="0"/>
          <w:color w:val="auto"/>
          <w:sz w:val="24"/>
          <w:szCs w:val="24"/>
          <w:highlight w:val="none"/>
          <w:lang w:val="en-US" w:eastAsia="zh-CN"/>
        </w:rPr>
        <w:t>为提高菜品卫生质量，能更有效的清洗掉虫蝇等杂物，特此采购超声波鼓泡洗菜池(多功能清洗机）。</w:t>
      </w:r>
      <w:r>
        <w:rPr>
          <w:rFonts w:hint="eastAsia" w:ascii="仿宋" w:hAnsi="仿宋" w:eastAsia="仿宋" w:cs="仿宋"/>
          <w:caps w:val="0"/>
          <w:color w:val="auto"/>
          <w:sz w:val="24"/>
          <w:szCs w:val="24"/>
          <w:highlight w:val="none"/>
        </w:rPr>
        <w:t>现就202</w:t>
      </w:r>
      <w:r>
        <w:rPr>
          <w:rFonts w:hint="eastAsia" w:ascii="仿宋" w:hAnsi="仿宋" w:eastAsia="仿宋" w:cs="仿宋"/>
          <w:caps w:val="0"/>
          <w:color w:val="auto"/>
          <w:sz w:val="24"/>
          <w:szCs w:val="24"/>
          <w:highlight w:val="none"/>
          <w:lang w:val="en-US" w:eastAsia="zh-CN"/>
        </w:rPr>
        <w:t>5年厨房超声波鼓泡洗菜池(多功能清洗机）</w:t>
      </w:r>
      <w:r>
        <w:rPr>
          <w:rFonts w:hint="eastAsia" w:ascii="仿宋" w:hAnsi="仿宋" w:eastAsia="仿宋" w:cs="仿宋"/>
          <w:caps w:val="0"/>
          <w:color w:val="auto"/>
          <w:sz w:val="24"/>
          <w:szCs w:val="24"/>
          <w:highlight w:val="none"/>
        </w:rPr>
        <w:t>进行采购，选取一家供应商进行</w:t>
      </w:r>
      <w:r>
        <w:rPr>
          <w:rFonts w:hint="eastAsia" w:ascii="仿宋" w:hAnsi="仿宋" w:eastAsia="仿宋" w:cs="仿宋"/>
          <w:caps w:val="0"/>
          <w:color w:val="auto"/>
          <w:sz w:val="24"/>
          <w:szCs w:val="24"/>
          <w:highlight w:val="none"/>
          <w:lang w:val="en-US" w:eastAsia="zh-CN"/>
        </w:rPr>
        <w:t>本项目采购</w:t>
      </w:r>
      <w:r>
        <w:rPr>
          <w:rFonts w:hint="eastAsia" w:ascii="仿宋" w:hAnsi="仿宋" w:eastAsia="仿宋" w:cs="仿宋"/>
          <w:caps w:val="0"/>
          <w:color w:val="auto"/>
          <w:sz w:val="24"/>
          <w:szCs w:val="24"/>
          <w:highlight w:val="none"/>
        </w:rPr>
        <w:t>。具体要求如下：</w:t>
      </w:r>
    </w:p>
    <w:p w14:paraId="17A7B071">
      <w:pPr>
        <w:pStyle w:val="5"/>
        <w:spacing w:line="360" w:lineRule="auto"/>
        <w:rPr>
          <w:rFonts w:hint="eastAsia" w:ascii="仿宋" w:hAnsi="仿宋" w:eastAsia="仿宋" w:cs="仿宋"/>
          <w:b/>
          <w:caps w:val="0"/>
          <w:color w:val="auto"/>
          <w:sz w:val="24"/>
          <w:szCs w:val="24"/>
          <w:highlight w:val="none"/>
        </w:rPr>
      </w:pPr>
    </w:p>
    <w:p w14:paraId="24817E5A">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二、采购要求</w:t>
      </w:r>
    </w:p>
    <w:p w14:paraId="6CBAE301">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1. </w:t>
      </w:r>
      <w:r>
        <w:rPr>
          <w:rFonts w:hint="eastAsia" w:ascii="仿宋" w:hAnsi="仿宋" w:eastAsia="仿宋" w:cs="仿宋"/>
          <w:caps w:val="0"/>
          <w:color w:val="auto"/>
          <w:sz w:val="24"/>
          <w:szCs w:val="24"/>
          <w:highlight w:val="none"/>
          <w:lang w:val="en-US" w:eastAsia="zh-CN"/>
        </w:rPr>
        <w:t>厨房超声波鼓泡洗菜池(多功能清洗机），</w:t>
      </w:r>
      <w:r>
        <w:rPr>
          <w:rFonts w:hint="eastAsia" w:ascii="仿宋" w:hAnsi="仿宋" w:eastAsia="仿宋" w:cs="仿宋"/>
          <w:caps w:val="0"/>
          <w:color w:val="auto"/>
          <w:sz w:val="24"/>
          <w:szCs w:val="24"/>
          <w:highlight w:val="none"/>
        </w:rPr>
        <w:t>招标人支付中标</w:t>
      </w:r>
      <w:r>
        <w:rPr>
          <w:rFonts w:hint="eastAsia" w:ascii="仿宋" w:hAnsi="仿宋" w:eastAsia="仿宋" w:cs="仿宋"/>
          <w:caps w:val="0"/>
          <w:color w:val="auto"/>
          <w:sz w:val="24"/>
          <w:szCs w:val="24"/>
          <w:highlight w:val="none"/>
          <w:lang w:val="en-US" w:eastAsia="zh-CN"/>
        </w:rPr>
        <w:t>相应金额</w:t>
      </w:r>
      <w:r>
        <w:rPr>
          <w:rFonts w:hint="eastAsia" w:ascii="仿宋" w:hAnsi="仿宋" w:eastAsia="仿宋" w:cs="仿宋"/>
          <w:caps w:val="0"/>
          <w:color w:val="auto"/>
          <w:sz w:val="24"/>
          <w:szCs w:val="24"/>
          <w:highlight w:val="none"/>
        </w:rPr>
        <w:t>（含税）。</w:t>
      </w:r>
    </w:p>
    <w:p w14:paraId="398867E3">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▲2. </w:t>
      </w:r>
      <w:r>
        <w:rPr>
          <w:rFonts w:hint="eastAsia" w:ascii="仿宋" w:hAnsi="仿宋" w:eastAsia="仿宋" w:cs="仿宋"/>
          <w:caps w:val="0"/>
          <w:color w:val="auto"/>
          <w:sz w:val="24"/>
          <w:szCs w:val="24"/>
          <w:highlight w:val="none"/>
          <w:lang w:val="en-US" w:eastAsia="zh-CN"/>
        </w:rPr>
        <w:t>厨房超声波鼓泡洗菜池(多功能清洗机）2台，</w:t>
      </w:r>
      <w:r>
        <w:rPr>
          <w:rFonts w:hint="eastAsia" w:ascii="仿宋" w:hAnsi="仿宋" w:eastAsia="仿宋" w:cs="仿宋"/>
          <w:caps w:val="0"/>
          <w:color w:val="auto"/>
          <w:sz w:val="24"/>
          <w:szCs w:val="24"/>
          <w:highlight w:val="none"/>
        </w:rPr>
        <w:t>产品</w:t>
      </w:r>
      <w:r>
        <w:rPr>
          <w:rFonts w:hint="eastAsia" w:ascii="仿宋" w:hAnsi="仿宋" w:eastAsia="仿宋" w:cs="仿宋"/>
          <w:caps w:val="0"/>
          <w:color w:val="auto"/>
          <w:sz w:val="24"/>
          <w:szCs w:val="24"/>
          <w:highlight w:val="none"/>
          <w:lang w:val="en-US" w:eastAsia="zh-CN"/>
        </w:rPr>
        <w:t>符合</w:t>
      </w:r>
      <w:r>
        <w:rPr>
          <w:rFonts w:hint="eastAsia" w:ascii="仿宋" w:hAnsi="仿宋" w:eastAsia="仿宋" w:cs="仿宋"/>
          <w:caps w:val="0"/>
          <w:color w:val="auto"/>
          <w:sz w:val="24"/>
          <w:szCs w:val="24"/>
          <w:highlight w:val="none"/>
        </w:rPr>
        <w:t>检测标准。</w:t>
      </w:r>
    </w:p>
    <w:p w14:paraId="48E72D84">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▲3.</w:t>
      </w:r>
      <w:r>
        <w:rPr>
          <w:rFonts w:hint="eastAsia" w:ascii="仿宋" w:hAnsi="仿宋" w:eastAsia="仿宋" w:cs="仿宋"/>
          <w:caps w:val="0"/>
          <w:color w:val="auto"/>
          <w:sz w:val="24"/>
          <w:szCs w:val="24"/>
          <w:highlight w:val="none"/>
          <w:lang w:val="en-US" w:eastAsia="zh-CN"/>
        </w:rPr>
        <w:t>货物须根据招标人需求提供</w:t>
      </w:r>
      <w:r>
        <w:rPr>
          <w:rFonts w:hint="eastAsia" w:ascii="仿宋" w:hAnsi="仿宋" w:eastAsia="仿宋" w:cs="仿宋"/>
          <w:caps w:val="0"/>
          <w:color w:val="auto"/>
          <w:sz w:val="24"/>
          <w:szCs w:val="24"/>
          <w:highlight w:val="none"/>
        </w:rPr>
        <w:t>。</w:t>
      </w:r>
    </w:p>
    <w:p w14:paraId="09746874">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4. 供应商须承诺提供的产品安全，满足</w:t>
      </w:r>
      <w:r>
        <w:rPr>
          <w:rFonts w:hint="eastAsia" w:ascii="仿宋" w:hAnsi="仿宋" w:eastAsia="仿宋" w:cs="仿宋"/>
          <w:caps w:val="0"/>
          <w:color w:val="auto"/>
          <w:sz w:val="24"/>
          <w:szCs w:val="24"/>
          <w:highlight w:val="none"/>
          <w:lang w:val="en-US" w:eastAsia="zh-CN"/>
        </w:rPr>
        <w:t>相关</w:t>
      </w:r>
      <w:r>
        <w:rPr>
          <w:rFonts w:hint="eastAsia" w:ascii="仿宋" w:hAnsi="仿宋" w:eastAsia="仿宋" w:cs="仿宋"/>
          <w:caps w:val="0"/>
          <w:color w:val="auto"/>
          <w:sz w:val="24"/>
          <w:szCs w:val="24"/>
          <w:highlight w:val="none"/>
        </w:rPr>
        <w:t>国家及行业资质要求和规定，必须取得相应的认证、许可或质检报告。</w:t>
      </w:r>
    </w:p>
    <w:p w14:paraId="2358098B">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5. 供应商须提供配送</w:t>
      </w:r>
      <w:r>
        <w:rPr>
          <w:rFonts w:hint="eastAsia" w:ascii="仿宋" w:hAnsi="仿宋" w:eastAsia="仿宋" w:cs="仿宋"/>
          <w:caps w:val="0"/>
          <w:color w:val="auto"/>
          <w:sz w:val="24"/>
          <w:szCs w:val="24"/>
          <w:highlight w:val="none"/>
          <w:lang w:val="en-US" w:eastAsia="zh-CN"/>
        </w:rPr>
        <w:t>及安装</w:t>
      </w:r>
      <w:r>
        <w:rPr>
          <w:rFonts w:hint="eastAsia" w:ascii="仿宋" w:hAnsi="仿宋" w:eastAsia="仿宋" w:cs="仿宋"/>
          <w:caps w:val="0"/>
          <w:color w:val="auto"/>
          <w:sz w:val="24"/>
          <w:szCs w:val="24"/>
          <w:highlight w:val="none"/>
        </w:rPr>
        <w:t>服务，规定时间内配送到采购人指定的收货地点</w:t>
      </w:r>
      <w:r>
        <w:rPr>
          <w:rFonts w:hint="eastAsia" w:ascii="仿宋" w:hAnsi="仿宋" w:eastAsia="仿宋" w:cs="仿宋"/>
          <w:bCs/>
          <w:caps w:val="0"/>
          <w:color w:val="auto"/>
          <w:sz w:val="24"/>
          <w:highlight w:val="none"/>
        </w:rPr>
        <w:t>。</w:t>
      </w:r>
      <w:r>
        <w:rPr>
          <w:rFonts w:hint="eastAsia" w:ascii="仿宋" w:hAnsi="仿宋" w:eastAsia="仿宋" w:cs="仿宋"/>
          <w:caps w:val="0"/>
          <w:color w:val="auto"/>
          <w:sz w:val="24"/>
          <w:szCs w:val="24"/>
          <w:highlight w:val="none"/>
        </w:rPr>
        <w:t>相关费用已包含在投标总价中。</w:t>
      </w:r>
    </w:p>
    <w:p w14:paraId="32245848">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6. </w:t>
      </w:r>
      <w:r>
        <w:rPr>
          <w:rFonts w:hint="eastAsia" w:ascii="仿宋" w:hAnsi="仿宋" w:eastAsia="仿宋" w:cs="仿宋"/>
          <w:caps w:val="0"/>
          <w:color w:val="auto"/>
          <w:sz w:val="24"/>
          <w:szCs w:val="24"/>
          <w:highlight w:val="none"/>
          <w:shd w:val="clear" w:color="auto" w:fill="FFFFFF"/>
        </w:rPr>
        <w:t>本采购内容中数量为预估</w:t>
      </w:r>
      <w:r>
        <w:rPr>
          <w:rFonts w:hint="eastAsia" w:ascii="仿宋" w:hAnsi="仿宋" w:eastAsia="仿宋" w:cs="仿宋"/>
          <w:caps w:val="0"/>
          <w:color w:val="auto"/>
          <w:sz w:val="24"/>
          <w:szCs w:val="24"/>
          <w:highlight w:val="none"/>
        </w:rPr>
        <w:t>数量，实际供应数量可能会有适当调整，</w:t>
      </w:r>
      <w:r>
        <w:rPr>
          <w:rFonts w:hint="eastAsia" w:ascii="仿宋" w:hAnsi="仿宋" w:eastAsia="仿宋" w:cs="仿宋"/>
          <w:caps w:val="0"/>
          <w:color w:val="auto"/>
          <w:sz w:val="24"/>
          <w:szCs w:val="24"/>
          <w:highlight w:val="none"/>
          <w:lang w:val="en-US" w:eastAsia="zh-CN"/>
        </w:rPr>
        <w:t>最终结算金额</w:t>
      </w:r>
      <w:r>
        <w:rPr>
          <w:rFonts w:hint="eastAsia" w:ascii="仿宋" w:hAnsi="仿宋" w:eastAsia="仿宋" w:cs="仿宋"/>
          <w:caps w:val="0"/>
          <w:color w:val="auto"/>
          <w:sz w:val="24"/>
          <w:highlight w:val="none"/>
        </w:rPr>
        <w:t>以采购人实际</w:t>
      </w:r>
      <w:r>
        <w:rPr>
          <w:rFonts w:hint="eastAsia" w:ascii="仿宋" w:hAnsi="仿宋" w:eastAsia="仿宋" w:cs="仿宋"/>
          <w:caps w:val="0"/>
          <w:color w:val="auto"/>
          <w:sz w:val="24"/>
          <w:highlight w:val="none"/>
          <w:lang w:val="en-US" w:eastAsia="zh-CN"/>
        </w:rPr>
        <w:t>使用数量</w:t>
      </w:r>
      <w:r>
        <w:rPr>
          <w:rFonts w:hint="eastAsia" w:ascii="仿宋" w:hAnsi="仿宋" w:eastAsia="仿宋" w:cs="仿宋"/>
          <w:caps w:val="0"/>
          <w:color w:val="auto"/>
          <w:sz w:val="24"/>
          <w:highlight w:val="none"/>
        </w:rPr>
        <w:t>为准。</w:t>
      </w:r>
    </w:p>
    <w:p w14:paraId="358F3FEC">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 售后服务</w:t>
      </w:r>
    </w:p>
    <w:p w14:paraId="5E1BCA63">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7.1</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供应商应具有完善的服务保障体系，暨应就投标商品的品质和服务对采购人负责。</w:t>
      </w:r>
    </w:p>
    <w:p w14:paraId="65B14E62">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7.2</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采购人对</w:t>
      </w:r>
      <w:r>
        <w:rPr>
          <w:rFonts w:hint="eastAsia" w:ascii="仿宋" w:hAnsi="仿宋" w:eastAsia="仿宋" w:cs="仿宋"/>
          <w:caps w:val="0"/>
          <w:color w:val="auto"/>
          <w:sz w:val="24"/>
          <w:szCs w:val="24"/>
          <w:highlight w:val="none"/>
          <w:lang w:val="en-US" w:eastAsia="zh-CN"/>
        </w:rPr>
        <w:t>货物</w:t>
      </w:r>
      <w:r>
        <w:rPr>
          <w:rFonts w:hint="eastAsia" w:ascii="仿宋" w:hAnsi="仿宋" w:eastAsia="仿宋" w:cs="仿宋"/>
          <w:caps w:val="0"/>
          <w:color w:val="auto"/>
          <w:sz w:val="24"/>
          <w:szCs w:val="24"/>
          <w:highlight w:val="none"/>
        </w:rPr>
        <w:t>质量、价格、数量有疑问，及时与中标供应商联系，中标供应商应在24小时内响应并作出处理。发生任何产品质量问题48小时内提供退换货服务。</w:t>
      </w:r>
      <w:r>
        <w:rPr>
          <w:rFonts w:hint="eastAsia" w:ascii="仿宋" w:hAnsi="仿宋" w:eastAsia="仿宋" w:cs="仿宋"/>
          <w:bCs/>
          <w:caps w:val="0"/>
          <w:color w:val="auto"/>
          <w:sz w:val="24"/>
          <w:highlight w:val="none"/>
        </w:rPr>
        <w:t>配送过程中除遇不可抗力原因，配送方需保证</w:t>
      </w:r>
      <w:r>
        <w:rPr>
          <w:rFonts w:hint="eastAsia" w:ascii="仿宋" w:hAnsi="仿宋" w:eastAsia="仿宋" w:cs="仿宋"/>
          <w:bCs/>
          <w:caps w:val="0"/>
          <w:color w:val="auto"/>
          <w:sz w:val="24"/>
          <w:highlight w:val="none"/>
          <w:lang w:val="en-US" w:eastAsia="zh-CN"/>
        </w:rPr>
        <w:t>货物的质量不受损伤。</w:t>
      </w:r>
      <w:r>
        <w:rPr>
          <w:rFonts w:hint="eastAsia" w:ascii="仿宋" w:hAnsi="仿宋" w:eastAsia="仿宋" w:cs="仿宋"/>
          <w:bCs/>
          <w:caps w:val="0"/>
          <w:color w:val="auto"/>
          <w:sz w:val="24"/>
          <w:highlight w:val="none"/>
        </w:rPr>
        <w:t>否则相关责任由中标供应商负责。</w:t>
      </w:r>
    </w:p>
    <w:p w14:paraId="2F62382F">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7.3</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供应商应明确说明此次投标的服务策略，提供此次应标货物的服务计划（售后服务内容、相关服务指标、售后服务组织机构及人员安排情况及其联络信息）。</w:t>
      </w:r>
    </w:p>
    <w:p w14:paraId="3F9F5D10">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8. 样品</w:t>
      </w:r>
    </w:p>
    <w:p w14:paraId="73745509">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8.1</w:t>
      </w:r>
      <w:r>
        <w:rPr>
          <w:rFonts w:hint="eastAsia" w:ascii="仿宋" w:hAnsi="仿宋" w:eastAsia="仿宋" w:cs="仿宋"/>
          <w:caps w:val="0"/>
          <w:color w:val="auto"/>
          <w:sz w:val="24"/>
          <w:szCs w:val="24"/>
          <w:highlight w:val="none"/>
          <w:lang w:val="en-US" w:eastAsia="zh-CN"/>
        </w:rPr>
        <w:t>本项目无需提供实际</w:t>
      </w:r>
      <w:r>
        <w:rPr>
          <w:rFonts w:hint="eastAsia" w:ascii="仿宋" w:hAnsi="仿宋" w:eastAsia="仿宋" w:cs="仿宋"/>
          <w:caps w:val="0"/>
          <w:color w:val="auto"/>
          <w:sz w:val="24"/>
          <w:szCs w:val="24"/>
          <w:highlight w:val="none"/>
        </w:rPr>
        <w:t>样品</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lang w:val="en-US" w:eastAsia="zh-CN"/>
        </w:rPr>
        <w:t>使用用照片代替。</w:t>
      </w:r>
    </w:p>
    <w:p w14:paraId="69662648">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8.2此条</w:t>
      </w:r>
      <w:r>
        <w:rPr>
          <w:rFonts w:hint="eastAsia" w:ascii="仿宋" w:hAnsi="仿宋" w:eastAsia="仿宋" w:cs="仿宋"/>
          <w:caps w:val="0"/>
          <w:color w:val="auto"/>
          <w:sz w:val="24"/>
          <w:szCs w:val="24"/>
          <w:highlight w:val="none"/>
        </w:rPr>
        <w:t>作为采购人验收时</w:t>
      </w:r>
      <w:r>
        <w:rPr>
          <w:rFonts w:hint="eastAsia" w:ascii="仿宋" w:hAnsi="仿宋" w:eastAsia="仿宋" w:cs="仿宋"/>
          <w:caps w:val="0"/>
          <w:color w:val="auto"/>
          <w:sz w:val="24"/>
          <w:szCs w:val="24"/>
          <w:highlight w:val="none"/>
          <w:lang w:eastAsia="zh-Hans"/>
        </w:rPr>
        <w:t>对</w:t>
      </w:r>
      <w:r>
        <w:rPr>
          <w:rFonts w:hint="eastAsia" w:ascii="仿宋" w:hAnsi="仿宋" w:eastAsia="仿宋" w:cs="仿宋"/>
          <w:caps w:val="0"/>
          <w:color w:val="auto"/>
          <w:sz w:val="24"/>
          <w:szCs w:val="24"/>
          <w:highlight w:val="none"/>
        </w:rPr>
        <w:t>中标供应商所供货的对照依据。当中标供应商所提供的产品的质量与样品不一致时，采购人有权要求供应商退换，由此产生的责任和所有费用由供应商全部承担。</w:t>
      </w:r>
    </w:p>
    <w:p w14:paraId="1FB705B4">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四、商务条款</w:t>
      </w:r>
    </w:p>
    <w:p w14:paraId="33FAD2EA">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1.报价方式：固定单价</w:t>
      </w:r>
      <w:r>
        <w:rPr>
          <w:rFonts w:hint="eastAsia" w:ascii="仿宋" w:hAnsi="仿宋" w:eastAsia="仿宋" w:cs="仿宋"/>
          <w:caps w:val="0"/>
          <w:color w:val="auto"/>
          <w:kern w:val="0"/>
          <w:sz w:val="24"/>
          <w:szCs w:val="24"/>
          <w:highlight w:val="none"/>
          <w:lang w:val="en-US" w:eastAsia="zh-CN"/>
        </w:rPr>
        <w:t>。</w:t>
      </w:r>
      <w:r>
        <w:rPr>
          <w:rFonts w:hint="eastAsia" w:ascii="仿宋" w:hAnsi="仿宋" w:eastAsia="仿宋" w:cs="仿宋"/>
          <w:caps w:val="0"/>
          <w:color w:val="auto"/>
          <w:sz w:val="24"/>
          <w:szCs w:val="24"/>
          <w:highlight w:val="none"/>
        </w:rPr>
        <w:t>合同期内无特殊情况单价不作调整</w:t>
      </w:r>
      <w:r>
        <w:rPr>
          <w:rFonts w:hint="eastAsia" w:ascii="仿宋" w:hAnsi="仿宋" w:eastAsia="仿宋" w:cs="仿宋"/>
          <w:caps w:val="0"/>
          <w:color w:val="auto"/>
          <w:sz w:val="24"/>
          <w:szCs w:val="24"/>
          <w:highlight w:val="none"/>
          <w:lang w:val="en-US" w:eastAsia="zh-CN"/>
        </w:rPr>
        <w:t>。</w:t>
      </w:r>
    </w:p>
    <w:p w14:paraId="0EE8ED99">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投标报价包括设备及技术资料到交货地的包装费、运输费、卸货费、保险费、税费、安装及售后服务等所需的一切相关费用。</w:t>
      </w:r>
    </w:p>
    <w:p w14:paraId="12B827E7">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.供货完成后，投标人凭送货清单向招标人申请结算，经双方对账无误，投标人开具符合要求的发票，</w:t>
      </w:r>
      <w:bookmarkStart w:id="52" w:name="OLE_LINK73"/>
      <w:r>
        <w:rPr>
          <w:rFonts w:hint="eastAsia" w:ascii="仿宋" w:hAnsi="仿宋" w:eastAsia="仿宋" w:cs="仿宋"/>
          <w:caps w:val="0"/>
          <w:color w:val="auto"/>
          <w:sz w:val="24"/>
          <w:szCs w:val="24"/>
          <w:highlight w:val="none"/>
        </w:rPr>
        <w:t>满足合同约定支付条件的</w:t>
      </w:r>
      <w:bookmarkEnd w:id="52"/>
      <w:r>
        <w:rPr>
          <w:rFonts w:hint="eastAsia" w:ascii="仿宋" w:hAnsi="仿宋" w:eastAsia="仿宋" w:cs="仿宋"/>
          <w:caps w:val="0"/>
          <w:color w:val="auto"/>
          <w:sz w:val="24"/>
          <w:szCs w:val="24"/>
          <w:highlight w:val="none"/>
        </w:rPr>
        <w:t>，招标人自收到发票之日起30日内将资金支付到合同约定的投标人账户。</w:t>
      </w:r>
    </w:p>
    <w:p w14:paraId="612193F1">
      <w:pPr>
        <w:adjustRightInd w:val="0"/>
        <w:snapToGrid w:val="0"/>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4</w:t>
      </w:r>
      <w:r>
        <w:rPr>
          <w:rFonts w:hint="eastAsia" w:ascii="仿宋" w:hAnsi="仿宋" w:eastAsia="仿宋" w:cs="仿宋"/>
          <w:caps w:val="0"/>
          <w:color w:val="auto"/>
          <w:sz w:val="24"/>
          <w:szCs w:val="24"/>
          <w:highlight w:val="none"/>
        </w:rPr>
        <w:t>.交货时间和交货地点：</w:t>
      </w:r>
    </w:p>
    <w:p w14:paraId="3ADEC2ED">
      <w:pPr>
        <w:adjustRightInd w:val="0"/>
        <w:snapToGrid w:val="0"/>
        <w:spacing w:line="360" w:lineRule="auto"/>
        <w:ind w:left="105" w:leftChars="50" w:firstLine="360" w:firstLineChars="150"/>
        <w:rPr>
          <w:rFonts w:hint="eastAsia" w:ascii="仿宋" w:hAnsi="仿宋" w:eastAsia="仿宋" w:cs="仿宋"/>
          <w:caps w:val="0"/>
          <w:color w:val="auto"/>
          <w:sz w:val="24"/>
          <w:highlight w:val="none"/>
          <w:lang w:eastAsia="zh-CN"/>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highlight w:val="none"/>
        </w:rPr>
        <w:t>中标供应商接到采购人供货通知后</w:t>
      </w:r>
      <w:r>
        <w:rPr>
          <w:rFonts w:hint="eastAsia" w:ascii="仿宋" w:hAnsi="仿宋" w:eastAsia="仿宋" w:cs="仿宋"/>
          <w:caps w:val="0"/>
          <w:color w:val="auto"/>
          <w:sz w:val="24"/>
          <w:highlight w:val="none"/>
          <w:u w:val="single"/>
          <w:lang w:val="en-US" w:eastAsia="zh-CN"/>
        </w:rPr>
        <w:t>15</w:t>
      </w:r>
      <w:r>
        <w:rPr>
          <w:rFonts w:hint="eastAsia" w:ascii="仿宋" w:hAnsi="仿宋" w:eastAsia="仿宋" w:cs="仿宋"/>
          <w:caps w:val="0"/>
          <w:color w:val="auto"/>
          <w:sz w:val="24"/>
          <w:highlight w:val="none"/>
        </w:rPr>
        <w:t>日内将</w:t>
      </w:r>
      <w:r>
        <w:rPr>
          <w:rFonts w:hint="eastAsia" w:ascii="仿宋" w:hAnsi="仿宋" w:eastAsia="仿宋" w:cs="仿宋"/>
          <w:caps w:val="0"/>
          <w:color w:val="auto"/>
          <w:sz w:val="24"/>
          <w:highlight w:val="none"/>
          <w:lang w:val="en-US" w:eastAsia="zh-CN"/>
        </w:rPr>
        <w:t>相关货物</w:t>
      </w:r>
      <w:r>
        <w:rPr>
          <w:rFonts w:hint="eastAsia" w:ascii="仿宋" w:hAnsi="仿宋" w:eastAsia="仿宋" w:cs="仿宋"/>
          <w:caps w:val="0"/>
          <w:color w:val="auto"/>
          <w:sz w:val="24"/>
          <w:highlight w:val="none"/>
        </w:rPr>
        <w:t>提供给采购人</w:t>
      </w:r>
      <w:r>
        <w:rPr>
          <w:rFonts w:hint="eastAsia" w:ascii="仿宋" w:hAnsi="仿宋" w:eastAsia="仿宋" w:cs="仿宋"/>
          <w:caps w:val="0"/>
          <w:color w:val="auto"/>
          <w:sz w:val="24"/>
          <w:highlight w:val="none"/>
          <w:lang w:eastAsia="zh-CN"/>
        </w:rPr>
        <w:t>。</w:t>
      </w:r>
    </w:p>
    <w:p w14:paraId="18D68BF7">
      <w:pPr>
        <w:adjustRightInd w:val="0"/>
        <w:snapToGrid w:val="0"/>
        <w:spacing w:line="360" w:lineRule="auto"/>
        <w:ind w:left="105" w:leftChars="50" w:firstLine="360" w:firstLineChars="15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highlight w:val="none"/>
        </w:rPr>
        <w:t>（2）待采购人收到</w:t>
      </w:r>
      <w:r>
        <w:rPr>
          <w:rFonts w:hint="eastAsia" w:ascii="仿宋" w:hAnsi="仿宋" w:eastAsia="仿宋" w:cs="仿宋"/>
          <w:caps w:val="0"/>
          <w:color w:val="auto"/>
          <w:sz w:val="24"/>
          <w:highlight w:val="none"/>
          <w:lang w:val="en-US" w:eastAsia="zh-CN"/>
        </w:rPr>
        <w:t>采购</w:t>
      </w:r>
      <w:r>
        <w:rPr>
          <w:rFonts w:hint="eastAsia" w:ascii="仿宋" w:hAnsi="仿宋" w:eastAsia="仿宋" w:cs="仿宋"/>
          <w:caps w:val="0"/>
          <w:color w:val="auto"/>
          <w:sz w:val="24"/>
          <w:highlight w:val="none"/>
        </w:rPr>
        <w:t>产品</w:t>
      </w:r>
      <w:r>
        <w:rPr>
          <w:rFonts w:hint="eastAsia" w:ascii="仿宋" w:hAnsi="仿宋" w:eastAsia="仿宋" w:cs="仿宋"/>
          <w:caps w:val="0"/>
          <w:color w:val="auto"/>
          <w:sz w:val="24"/>
          <w:highlight w:val="none"/>
          <w:lang w:val="en-US" w:eastAsia="zh-CN"/>
        </w:rPr>
        <w:t>并且确认无误</w:t>
      </w:r>
      <w:r>
        <w:rPr>
          <w:rFonts w:hint="eastAsia" w:ascii="仿宋" w:hAnsi="仿宋" w:eastAsia="仿宋" w:cs="仿宋"/>
          <w:caps w:val="0"/>
          <w:color w:val="auto"/>
          <w:sz w:val="24"/>
          <w:highlight w:val="none"/>
        </w:rPr>
        <w:t>后，视为</w:t>
      </w:r>
      <w:r>
        <w:rPr>
          <w:rFonts w:hint="eastAsia" w:ascii="仿宋" w:hAnsi="仿宋" w:eastAsia="仿宋" w:cs="仿宋"/>
          <w:caps w:val="0"/>
          <w:color w:val="auto"/>
          <w:sz w:val="24"/>
          <w:highlight w:val="none"/>
          <w:lang w:val="en-US" w:eastAsia="zh-CN"/>
        </w:rPr>
        <w:t>交货</w:t>
      </w:r>
      <w:r>
        <w:rPr>
          <w:rFonts w:hint="eastAsia" w:ascii="仿宋" w:hAnsi="仿宋" w:eastAsia="仿宋" w:cs="仿宋"/>
          <w:caps w:val="0"/>
          <w:color w:val="auto"/>
          <w:sz w:val="24"/>
          <w:highlight w:val="none"/>
        </w:rPr>
        <w:t>完成。</w:t>
      </w:r>
    </w:p>
    <w:p w14:paraId="23118080">
      <w:pPr>
        <w:adjustRightInd w:val="0"/>
        <w:snapToGrid w:val="0"/>
        <w:spacing w:line="360" w:lineRule="auto"/>
        <w:rPr>
          <w:rFonts w:hint="eastAsia" w:ascii="仿宋" w:hAnsi="仿宋" w:eastAsia="仿宋" w:cs="仿宋"/>
          <w:caps w:val="0"/>
          <w:color w:val="auto"/>
          <w:highlight w:val="none"/>
        </w:rPr>
      </w:pPr>
    </w:p>
    <w:p w14:paraId="79D54CB1">
      <w:pPr>
        <w:adjustRightInd w:val="0"/>
        <w:snapToGrid w:val="0"/>
        <w:spacing w:line="360" w:lineRule="auto"/>
        <w:jc w:val="center"/>
        <w:rPr>
          <w:rFonts w:hint="eastAsia" w:ascii="仿宋" w:hAnsi="仿宋" w:eastAsia="仿宋" w:cs="仿宋"/>
          <w:caps w:val="0"/>
          <w:color w:val="auto"/>
          <w:sz w:val="24"/>
          <w:szCs w:val="24"/>
          <w:highlight w:val="none"/>
        </w:rPr>
      </w:pPr>
      <w:r>
        <w:rPr>
          <w:rFonts w:hint="eastAsia" w:ascii="仿宋" w:hAnsi="仿宋" w:eastAsia="仿宋" w:cs="仿宋"/>
          <w:caps w:val="0"/>
          <w:color w:val="auto"/>
          <w:highlight w:val="none"/>
        </w:rPr>
        <w:br w:type="page"/>
      </w:r>
      <w:bookmarkStart w:id="53" w:name="_Toc472544484"/>
      <w:r>
        <w:rPr>
          <w:rFonts w:hint="eastAsia" w:ascii="仿宋" w:hAnsi="仿宋" w:eastAsia="仿宋" w:cs="仿宋"/>
          <w:caps w:val="0"/>
          <w:color w:val="auto"/>
          <w:sz w:val="32"/>
          <w:highlight w:val="none"/>
        </w:rPr>
        <w:t>第四部分  合同主要条款</w:t>
      </w:r>
      <w:bookmarkEnd w:id="53"/>
    </w:p>
    <w:p w14:paraId="49FE8148">
      <w:pPr>
        <w:jc w:val="center"/>
        <w:rPr>
          <w:rFonts w:hint="eastAsia" w:ascii="仿宋" w:hAnsi="仿宋" w:eastAsia="仿宋" w:cs="仿宋"/>
          <w:b/>
          <w:caps w:val="0"/>
          <w:color w:val="auto"/>
          <w:szCs w:val="21"/>
          <w:highlight w:val="none"/>
        </w:rPr>
      </w:pPr>
      <w:r>
        <w:rPr>
          <w:rFonts w:hint="eastAsia" w:ascii="仿宋" w:hAnsi="仿宋" w:eastAsia="仿宋" w:cs="仿宋"/>
          <w:b/>
          <w:caps w:val="0"/>
          <w:color w:val="auto"/>
          <w:szCs w:val="21"/>
          <w:highlight w:val="none"/>
        </w:rPr>
        <w:t>（本合同为合同样稿，最终稿由双方协商后确定）</w:t>
      </w:r>
    </w:p>
    <w:p w14:paraId="7FAF76A5">
      <w:pPr>
        <w:jc w:val="center"/>
        <w:rPr>
          <w:rFonts w:hint="eastAsia" w:ascii="仿宋" w:hAnsi="仿宋" w:eastAsia="仿宋" w:cs="仿宋"/>
          <w:b/>
          <w:caps w:val="0"/>
          <w:color w:val="auto"/>
          <w:szCs w:val="21"/>
          <w:highlight w:val="none"/>
        </w:rPr>
      </w:pPr>
    </w:p>
    <w:p w14:paraId="155C911E">
      <w:pPr>
        <w:jc w:val="center"/>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浙江中医药大学附属第二医院</w:t>
      </w:r>
      <w:r>
        <w:rPr>
          <w:rFonts w:hint="eastAsia" w:ascii="仿宋" w:hAnsi="仿宋" w:eastAsia="仿宋" w:cs="仿宋"/>
          <w:b/>
          <w:bCs w:val="0"/>
          <w:color w:val="auto"/>
          <w:sz w:val="30"/>
          <w:szCs w:val="30"/>
          <w:highlight w:val="none"/>
          <w:lang w:val="en-US" w:eastAsia="zh-CN"/>
        </w:rPr>
        <w:t>2025年厨房超声波鼓泡洗菜池(多功能清洗机）</w:t>
      </w:r>
      <w:r>
        <w:rPr>
          <w:rFonts w:hint="eastAsia" w:ascii="仿宋" w:hAnsi="仿宋" w:eastAsia="仿宋" w:cs="仿宋"/>
          <w:b/>
          <w:bCs w:val="0"/>
          <w:color w:val="auto"/>
          <w:sz w:val="30"/>
          <w:szCs w:val="30"/>
          <w:highlight w:val="none"/>
        </w:rPr>
        <w:t>采购合同</w:t>
      </w:r>
    </w:p>
    <w:p w14:paraId="76F91C84">
      <w:pPr>
        <w:jc w:val="center"/>
        <w:rPr>
          <w:rFonts w:hint="eastAsia" w:ascii="仿宋" w:hAnsi="仿宋" w:eastAsia="仿宋" w:cs="仿宋"/>
          <w:b/>
          <w:bCs w:val="0"/>
          <w:color w:val="auto"/>
          <w:sz w:val="24"/>
          <w:szCs w:val="24"/>
          <w:highlight w:val="none"/>
        </w:rPr>
      </w:pPr>
    </w:p>
    <w:p w14:paraId="6A89F0EF">
      <w:pPr>
        <w:adjustRightInd w:val="0"/>
        <w:snapToGrid w:val="0"/>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委托方（以下简称甲方）：</w:t>
      </w:r>
      <w:r>
        <w:rPr>
          <w:rFonts w:hint="eastAsia" w:ascii="仿宋" w:hAnsi="仿宋" w:eastAsia="仿宋" w:cs="仿宋"/>
          <w:b/>
          <w:bCs w:val="0"/>
          <w:color w:val="auto"/>
          <w:sz w:val="24"/>
          <w:szCs w:val="24"/>
          <w:highlight w:val="none"/>
          <w:u w:val="single"/>
        </w:rPr>
        <w:t>浙江中医药大学附属第二医院</w:t>
      </w:r>
      <w:r>
        <w:rPr>
          <w:rFonts w:hint="eastAsia" w:ascii="仿宋" w:hAnsi="仿宋" w:eastAsia="仿宋" w:cs="仿宋"/>
          <w:b/>
          <w:bCs w:val="0"/>
          <w:color w:val="auto"/>
          <w:sz w:val="24"/>
          <w:szCs w:val="24"/>
          <w:highlight w:val="none"/>
          <w:u w:val="single"/>
          <w:lang w:val="en-US" w:eastAsia="zh-CN"/>
        </w:rPr>
        <w:t xml:space="preserve">              </w:t>
      </w:r>
    </w:p>
    <w:p w14:paraId="313B5409">
      <w:pPr>
        <w:adjustRightInd w:val="0"/>
        <w:snapToGrid w:val="0"/>
        <w:spacing w:line="360" w:lineRule="auto"/>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受托方（以下简称乙方）：</w:t>
      </w:r>
      <w:r>
        <w:rPr>
          <w:rFonts w:hint="eastAsia" w:ascii="仿宋" w:hAnsi="仿宋" w:eastAsia="仿宋" w:cs="仿宋"/>
          <w:b/>
          <w:bCs w:val="0"/>
          <w:color w:val="auto"/>
          <w:sz w:val="24"/>
          <w:szCs w:val="24"/>
          <w:highlight w:val="none"/>
          <w:u w:val="single"/>
        </w:rPr>
        <w:t xml:space="preserve"> </w:t>
      </w:r>
      <w:r>
        <w:rPr>
          <w:rFonts w:hint="eastAsia" w:ascii="仿宋" w:hAnsi="仿宋" w:eastAsia="仿宋" w:cs="仿宋"/>
          <w:b/>
          <w:bCs w:val="0"/>
          <w:color w:val="auto"/>
          <w:sz w:val="24"/>
          <w:szCs w:val="24"/>
          <w:highlight w:val="none"/>
          <w:u w:val="single"/>
          <w:lang w:val="en-US" w:eastAsia="zh-CN"/>
        </w:rPr>
        <w:t xml:space="preserve">                         </w:t>
      </w:r>
      <w:r>
        <w:rPr>
          <w:rFonts w:hint="eastAsia" w:ascii="仿宋" w:hAnsi="仿宋" w:eastAsia="仿宋" w:cs="仿宋"/>
          <w:b/>
          <w:bCs w:val="0"/>
          <w:color w:val="auto"/>
          <w:sz w:val="24"/>
          <w:szCs w:val="24"/>
          <w:highlight w:val="none"/>
          <w:u w:val="single"/>
        </w:rPr>
        <w:t xml:space="preserve">              </w:t>
      </w:r>
    </w:p>
    <w:p w14:paraId="40F74B1F">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p>
    <w:p w14:paraId="76F1CBD0">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依照《中华人民共和国民法典》及其他有关法律、行政法规，遵循平等诚实信用的原则，甲、乙双方根据关于浙江中医药大学附属第二医院</w:t>
      </w:r>
      <w:r>
        <w:rPr>
          <w:rFonts w:hint="eastAsia" w:ascii="仿宋" w:hAnsi="仿宋" w:eastAsia="仿宋" w:cs="仿宋"/>
          <w:b w:val="0"/>
          <w:bCs/>
          <w:color w:val="auto"/>
          <w:sz w:val="24"/>
          <w:szCs w:val="24"/>
          <w:highlight w:val="none"/>
          <w:lang w:val="en-US" w:eastAsia="zh-CN"/>
        </w:rPr>
        <w:t>2025年厨房超声波鼓泡洗菜池(多功能清洗机）</w:t>
      </w:r>
      <w:r>
        <w:rPr>
          <w:rFonts w:hint="eastAsia" w:ascii="仿宋" w:hAnsi="仿宋" w:eastAsia="仿宋" w:cs="仿宋"/>
          <w:b w:val="0"/>
          <w:bCs/>
          <w:color w:val="auto"/>
          <w:sz w:val="24"/>
          <w:szCs w:val="24"/>
          <w:highlight w:val="none"/>
        </w:rPr>
        <w:t>采购招标项目经招标的结果，签署本合同。</w:t>
      </w:r>
    </w:p>
    <w:p w14:paraId="501CA3CC">
      <w:pPr>
        <w:spacing w:line="360" w:lineRule="auto"/>
        <w:ind w:firstLine="480" w:firstLineChars="200"/>
        <w:rPr>
          <w:rFonts w:hint="eastAsia" w:ascii="仿宋" w:hAnsi="仿宋" w:eastAsia="仿宋" w:cs="仿宋"/>
          <w:b w:val="0"/>
          <w:bCs/>
          <w:color w:val="auto"/>
          <w:sz w:val="24"/>
          <w:szCs w:val="24"/>
          <w:highlight w:val="none"/>
        </w:rPr>
      </w:pPr>
    </w:p>
    <w:p w14:paraId="1F1F204D">
      <w:pPr>
        <w:spacing w:line="360" w:lineRule="auto"/>
        <w:ind w:firstLine="470" w:firstLineChars="196"/>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第一条：合同标的</w:t>
      </w:r>
    </w:p>
    <w:p w14:paraId="6F71152E">
      <w:pPr>
        <w:widowControl/>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甲方向乙方采购</w:t>
      </w:r>
      <w:r>
        <w:rPr>
          <w:rFonts w:hint="eastAsia" w:ascii="仿宋" w:hAnsi="仿宋" w:eastAsia="仿宋" w:cs="仿宋"/>
          <w:b w:val="0"/>
          <w:bCs/>
          <w:color w:val="auto"/>
          <w:sz w:val="24"/>
          <w:szCs w:val="24"/>
          <w:highlight w:val="none"/>
          <w:lang w:val="en-US" w:eastAsia="zh-CN"/>
        </w:rPr>
        <w:t>厨房超声波鼓泡洗菜池(多功能清洗机）</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内容如下:</w:t>
      </w:r>
    </w:p>
    <w:tbl>
      <w:tblPr>
        <w:tblStyle w:val="10"/>
        <w:tblW w:w="6308" w:type="dxa"/>
        <w:jc w:val="center"/>
        <w:tblLayout w:type="fixed"/>
        <w:tblCellMar>
          <w:top w:w="0" w:type="dxa"/>
          <w:left w:w="108" w:type="dxa"/>
          <w:bottom w:w="0" w:type="dxa"/>
          <w:right w:w="108" w:type="dxa"/>
        </w:tblCellMar>
      </w:tblPr>
      <w:tblGrid>
        <w:gridCol w:w="710"/>
        <w:gridCol w:w="1903"/>
        <w:gridCol w:w="2130"/>
        <w:gridCol w:w="734"/>
        <w:gridCol w:w="831"/>
      </w:tblGrid>
      <w:tr w14:paraId="7CAF7DA2">
        <w:tblPrEx>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2FAEDAA">
            <w:pPr>
              <w:spacing w:line="360" w:lineRule="auto"/>
              <w:jc w:val="center"/>
              <w:rPr>
                <w:rFonts w:hint="eastAsia" w:ascii="仿宋" w:hAnsi="仿宋" w:eastAsia="仿宋" w:cs="仿宋"/>
                <w:b/>
                <w:bCs w:val="0"/>
                <w:sz w:val="24"/>
              </w:rPr>
            </w:pPr>
            <w:bookmarkStart w:id="54" w:name="OLE_LINK1"/>
            <w:r>
              <w:rPr>
                <w:rFonts w:hint="eastAsia" w:ascii="仿宋" w:hAnsi="仿宋" w:eastAsia="仿宋" w:cs="仿宋"/>
                <w:b/>
                <w:bCs w:val="0"/>
                <w:sz w:val="24"/>
              </w:rPr>
              <w:t>序号</w:t>
            </w:r>
          </w:p>
        </w:tc>
        <w:tc>
          <w:tcPr>
            <w:tcW w:w="1903" w:type="dxa"/>
            <w:tcBorders>
              <w:top w:val="single" w:color="auto" w:sz="4" w:space="0"/>
              <w:left w:val="nil"/>
              <w:bottom w:val="single" w:color="auto" w:sz="4" w:space="0"/>
              <w:right w:val="single" w:color="auto" w:sz="4" w:space="0"/>
            </w:tcBorders>
            <w:noWrap w:val="0"/>
            <w:vAlign w:val="center"/>
          </w:tcPr>
          <w:p w14:paraId="6E815B22">
            <w:pPr>
              <w:spacing w:line="360" w:lineRule="auto"/>
              <w:jc w:val="center"/>
              <w:rPr>
                <w:rFonts w:hint="eastAsia" w:ascii="仿宋" w:hAnsi="仿宋" w:eastAsia="仿宋" w:cs="仿宋"/>
                <w:b/>
                <w:bCs w:val="0"/>
                <w:sz w:val="24"/>
              </w:rPr>
            </w:pPr>
            <w:r>
              <w:rPr>
                <w:rFonts w:hint="eastAsia" w:ascii="仿宋" w:hAnsi="仿宋" w:eastAsia="仿宋" w:cs="仿宋"/>
                <w:b/>
                <w:bCs w:val="0"/>
                <w:sz w:val="24"/>
              </w:rPr>
              <w:t>设备名称</w:t>
            </w:r>
          </w:p>
        </w:tc>
        <w:tc>
          <w:tcPr>
            <w:tcW w:w="2130" w:type="dxa"/>
            <w:tcBorders>
              <w:top w:val="single" w:color="auto" w:sz="4" w:space="0"/>
              <w:left w:val="nil"/>
              <w:bottom w:val="single" w:color="auto" w:sz="4" w:space="0"/>
              <w:right w:val="single" w:color="auto" w:sz="4" w:space="0"/>
            </w:tcBorders>
            <w:noWrap w:val="0"/>
            <w:vAlign w:val="center"/>
          </w:tcPr>
          <w:p w14:paraId="34787B9E">
            <w:pPr>
              <w:spacing w:line="360" w:lineRule="auto"/>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具体参数</w:t>
            </w:r>
          </w:p>
        </w:tc>
        <w:tc>
          <w:tcPr>
            <w:tcW w:w="734" w:type="dxa"/>
            <w:tcBorders>
              <w:top w:val="single" w:color="auto" w:sz="4" w:space="0"/>
              <w:left w:val="nil"/>
              <w:bottom w:val="single" w:color="auto" w:sz="4" w:space="0"/>
              <w:right w:val="single" w:color="auto" w:sz="4" w:space="0"/>
            </w:tcBorders>
            <w:noWrap w:val="0"/>
            <w:vAlign w:val="center"/>
          </w:tcPr>
          <w:p w14:paraId="247105C8">
            <w:pPr>
              <w:spacing w:line="360" w:lineRule="auto"/>
              <w:jc w:val="center"/>
              <w:rPr>
                <w:rFonts w:hint="eastAsia" w:ascii="仿宋" w:hAnsi="仿宋" w:eastAsia="仿宋" w:cs="仿宋"/>
                <w:b/>
                <w:bCs w:val="0"/>
                <w:sz w:val="24"/>
              </w:rPr>
            </w:pPr>
            <w:r>
              <w:rPr>
                <w:rFonts w:hint="eastAsia" w:ascii="仿宋" w:hAnsi="仿宋" w:eastAsia="仿宋" w:cs="仿宋"/>
                <w:b/>
                <w:bCs w:val="0"/>
                <w:sz w:val="24"/>
              </w:rPr>
              <w:t>单位</w:t>
            </w:r>
          </w:p>
        </w:tc>
        <w:tc>
          <w:tcPr>
            <w:tcW w:w="831" w:type="dxa"/>
            <w:tcBorders>
              <w:top w:val="single" w:color="auto" w:sz="4" w:space="0"/>
              <w:left w:val="nil"/>
              <w:bottom w:val="single" w:color="auto" w:sz="4" w:space="0"/>
              <w:right w:val="single" w:color="auto" w:sz="4" w:space="0"/>
            </w:tcBorders>
            <w:noWrap w:val="0"/>
            <w:vAlign w:val="center"/>
          </w:tcPr>
          <w:p w14:paraId="5231311B">
            <w:pPr>
              <w:spacing w:line="360" w:lineRule="auto"/>
              <w:jc w:val="center"/>
              <w:rPr>
                <w:rFonts w:hint="eastAsia" w:ascii="仿宋" w:hAnsi="仿宋" w:eastAsia="仿宋" w:cs="仿宋"/>
                <w:b/>
                <w:bCs w:val="0"/>
                <w:sz w:val="24"/>
              </w:rPr>
            </w:pPr>
            <w:r>
              <w:rPr>
                <w:rFonts w:hint="eastAsia" w:ascii="仿宋" w:hAnsi="仿宋" w:eastAsia="仿宋" w:cs="仿宋"/>
                <w:b/>
                <w:bCs w:val="0"/>
                <w:sz w:val="24"/>
              </w:rPr>
              <w:t>单价（元）</w:t>
            </w:r>
          </w:p>
        </w:tc>
      </w:tr>
      <w:tr w14:paraId="6805752C">
        <w:tblPrEx>
          <w:tblCellMar>
            <w:top w:w="0" w:type="dxa"/>
            <w:left w:w="108" w:type="dxa"/>
            <w:bottom w:w="0" w:type="dxa"/>
            <w:right w:w="108" w:type="dxa"/>
          </w:tblCellMar>
        </w:tblPrEx>
        <w:trPr>
          <w:cantSplit/>
          <w:trHeight w:val="444"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073CEC3">
            <w:pPr>
              <w:spacing w:line="360" w:lineRule="auto"/>
              <w:jc w:val="center"/>
              <w:rPr>
                <w:rFonts w:hint="eastAsia" w:ascii="仿宋" w:hAnsi="仿宋" w:eastAsia="仿宋" w:cs="仿宋"/>
                <w:b/>
                <w:bCs w:val="0"/>
                <w:sz w:val="24"/>
              </w:rPr>
            </w:pPr>
            <w:r>
              <w:rPr>
                <w:rFonts w:hint="eastAsia" w:ascii="仿宋" w:hAnsi="仿宋" w:eastAsia="仿宋" w:cs="仿宋"/>
                <w:b/>
                <w:bCs w:val="0"/>
                <w:sz w:val="24"/>
              </w:rPr>
              <w:t>1</w:t>
            </w:r>
          </w:p>
        </w:tc>
        <w:tc>
          <w:tcPr>
            <w:tcW w:w="1903" w:type="dxa"/>
            <w:tcBorders>
              <w:top w:val="single" w:color="auto" w:sz="4" w:space="0"/>
              <w:left w:val="nil"/>
              <w:bottom w:val="single" w:color="auto" w:sz="4" w:space="0"/>
              <w:right w:val="single" w:color="auto" w:sz="4" w:space="0"/>
            </w:tcBorders>
            <w:noWrap w:val="0"/>
            <w:vAlign w:val="center"/>
          </w:tcPr>
          <w:p w14:paraId="6297458B">
            <w:pPr>
              <w:spacing w:line="360" w:lineRule="auto"/>
              <w:ind w:firstLine="482" w:firstLineChars="200"/>
              <w:jc w:val="center"/>
              <w:rPr>
                <w:rFonts w:hint="eastAsia" w:ascii="仿宋" w:hAnsi="仿宋" w:eastAsia="仿宋" w:cs="仿宋"/>
                <w:b/>
                <w:bCs w:val="0"/>
                <w:sz w:val="24"/>
              </w:rPr>
            </w:pPr>
          </w:p>
        </w:tc>
        <w:tc>
          <w:tcPr>
            <w:tcW w:w="2130" w:type="dxa"/>
            <w:tcBorders>
              <w:top w:val="single" w:color="auto" w:sz="4" w:space="0"/>
              <w:left w:val="nil"/>
              <w:bottom w:val="single" w:color="auto" w:sz="4" w:space="0"/>
              <w:right w:val="single" w:color="auto" w:sz="4" w:space="0"/>
            </w:tcBorders>
            <w:noWrap w:val="0"/>
            <w:vAlign w:val="center"/>
          </w:tcPr>
          <w:p w14:paraId="05F14D02">
            <w:pPr>
              <w:spacing w:line="360" w:lineRule="auto"/>
              <w:ind w:firstLine="482" w:firstLineChars="200"/>
              <w:jc w:val="center"/>
              <w:rPr>
                <w:rFonts w:hint="eastAsia" w:ascii="仿宋" w:hAnsi="仿宋" w:eastAsia="仿宋" w:cs="仿宋"/>
                <w:b/>
                <w:bCs w:val="0"/>
                <w:sz w:val="24"/>
              </w:rPr>
            </w:pPr>
          </w:p>
        </w:tc>
        <w:tc>
          <w:tcPr>
            <w:tcW w:w="734" w:type="dxa"/>
            <w:tcBorders>
              <w:top w:val="single" w:color="auto" w:sz="4" w:space="0"/>
              <w:left w:val="nil"/>
              <w:bottom w:val="single" w:color="auto" w:sz="4" w:space="0"/>
              <w:right w:val="single" w:color="auto" w:sz="4" w:space="0"/>
            </w:tcBorders>
            <w:noWrap w:val="0"/>
            <w:vAlign w:val="center"/>
          </w:tcPr>
          <w:p w14:paraId="6E552343">
            <w:pPr>
              <w:spacing w:line="360" w:lineRule="auto"/>
              <w:jc w:val="center"/>
              <w:rPr>
                <w:rFonts w:hint="eastAsia" w:ascii="仿宋" w:hAnsi="仿宋" w:eastAsia="仿宋" w:cs="仿宋"/>
                <w:b/>
                <w:bCs w:val="0"/>
                <w:sz w:val="24"/>
              </w:rPr>
            </w:pPr>
          </w:p>
        </w:tc>
        <w:tc>
          <w:tcPr>
            <w:tcW w:w="831" w:type="dxa"/>
            <w:tcBorders>
              <w:top w:val="single" w:color="auto" w:sz="4" w:space="0"/>
              <w:left w:val="nil"/>
              <w:bottom w:val="single" w:color="auto" w:sz="4" w:space="0"/>
              <w:right w:val="single" w:color="auto" w:sz="4" w:space="0"/>
            </w:tcBorders>
            <w:noWrap w:val="0"/>
            <w:vAlign w:val="center"/>
          </w:tcPr>
          <w:p w14:paraId="055083C5">
            <w:pPr>
              <w:spacing w:line="360" w:lineRule="auto"/>
              <w:ind w:firstLine="482" w:firstLineChars="200"/>
              <w:jc w:val="center"/>
              <w:rPr>
                <w:rFonts w:hint="eastAsia" w:ascii="仿宋" w:hAnsi="仿宋" w:eastAsia="仿宋" w:cs="仿宋"/>
                <w:b/>
                <w:bCs w:val="0"/>
                <w:sz w:val="24"/>
              </w:rPr>
            </w:pPr>
          </w:p>
        </w:tc>
      </w:tr>
      <w:tr w14:paraId="47CA36A3">
        <w:tblPrEx>
          <w:tblCellMar>
            <w:top w:w="0" w:type="dxa"/>
            <w:left w:w="108" w:type="dxa"/>
            <w:bottom w:w="0" w:type="dxa"/>
            <w:right w:w="108" w:type="dxa"/>
          </w:tblCellMar>
        </w:tblPrEx>
        <w:trPr>
          <w:cantSplit/>
          <w:trHeight w:val="41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CE0A666">
            <w:pPr>
              <w:spacing w:line="360" w:lineRule="auto"/>
              <w:jc w:val="center"/>
              <w:rPr>
                <w:rFonts w:hint="eastAsia" w:ascii="仿宋" w:hAnsi="仿宋" w:eastAsia="仿宋" w:cs="仿宋"/>
                <w:b/>
                <w:bCs w:val="0"/>
                <w:sz w:val="24"/>
              </w:rPr>
            </w:pPr>
            <w:r>
              <w:rPr>
                <w:rFonts w:hint="eastAsia" w:ascii="仿宋" w:hAnsi="仿宋" w:eastAsia="仿宋" w:cs="仿宋"/>
                <w:b/>
                <w:bCs w:val="0"/>
                <w:sz w:val="24"/>
              </w:rPr>
              <w:t>...</w:t>
            </w:r>
          </w:p>
        </w:tc>
        <w:tc>
          <w:tcPr>
            <w:tcW w:w="1903" w:type="dxa"/>
            <w:tcBorders>
              <w:top w:val="single" w:color="auto" w:sz="4" w:space="0"/>
              <w:left w:val="nil"/>
              <w:bottom w:val="single" w:color="auto" w:sz="4" w:space="0"/>
              <w:right w:val="single" w:color="auto" w:sz="4" w:space="0"/>
            </w:tcBorders>
            <w:noWrap w:val="0"/>
            <w:vAlign w:val="center"/>
          </w:tcPr>
          <w:p w14:paraId="5A907A14">
            <w:pPr>
              <w:spacing w:line="360" w:lineRule="auto"/>
              <w:ind w:firstLine="482" w:firstLineChars="200"/>
              <w:jc w:val="center"/>
              <w:rPr>
                <w:rFonts w:hint="eastAsia" w:ascii="仿宋" w:hAnsi="仿宋" w:eastAsia="仿宋" w:cs="仿宋"/>
                <w:b/>
                <w:bCs w:val="0"/>
                <w:sz w:val="24"/>
              </w:rPr>
            </w:pPr>
          </w:p>
        </w:tc>
        <w:tc>
          <w:tcPr>
            <w:tcW w:w="2130" w:type="dxa"/>
            <w:tcBorders>
              <w:top w:val="single" w:color="auto" w:sz="4" w:space="0"/>
              <w:left w:val="nil"/>
              <w:bottom w:val="single" w:color="auto" w:sz="4" w:space="0"/>
              <w:right w:val="single" w:color="auto" w:sz="4" w:space="0"/>
            </w:tcBorders>
            <w:noWrap w:val="0"/>
            <w:vAlign w:val="center"/>
          </w:tcPr>
          <w:p w14:paraId="2229AAAA">
            <w:pPr>
              <w:spacing w:line="360" w:lineRule="auto"/>
              <w:ind w:firstLine="482" w:firstLineChars="200"/>
              <w:jc w:val="center"/>
              <w:rPr>
                <w:rFonts w:hint="eastAsia" w:ascii="仿宋" w:hAnsi="仿宋" w:eastAsia="仿宋" w:cs="仿宋"/>
                <w:b/>
                <w:bCs w:val="0"/>
                <w:sz w:val="24"/>
              </w:rPr>
            </w:pPr>
          </w:p>
        </w:tc>
        <w:tc>
          <w:tcPr>
            <w:tcW w:w="734" w:type="dxa"/>
            <w:tcBorders>
              <w:top w:val="single" w:color="auto" w:sz="4" w:space="0"/>
              <w:left w:val="nil"/>
              <w:bottom w:val="single" w:color="auto" w:sz="4" w:space="0"/>
              <w:right w:val="single" w:color="auto" w:sz="4" w:space="0"/>
            </w:tcBorders>
            <w:noWrap w:val="0"/>
            <w:vAlign w:val="center"/>
          </w:tcPr>
          <w:p w14:paraId="4D4A916D">
            <w:pPr>
              <w:spacing w:line="360" w:lineRule="auto"/>
              <w:ind w:firstLine="482" w:firstLineChars="200"/>
              <w:jc w:val="center"/>
              <w:rPr>
                <w:rFonts w:hint="eastAsia" w:ascii="仿宋" w:hAnsi="仿宋" w:eastAsia="仿宋" w:cs="仿宋"/>
                <w:b/>
                <w:bCs w:val="0"/>
                <w:sz w:val="24"/>
              </w:rPr>
            </w:pPr>
          </w:p>
        </w:tc>
        <w:tc>
          <w:tcPr>
            <w:tcW w:w="831" w:type="dxa"/>
            <w:tcBorders>
              <w:top w:val="single" w:color="auto" w:sz="4" w:space="0"/>
              <w:left w:val="nil"/>
              <w:bottom w:val="single" w:color="auto" w:sz="4" w:space="0"/>
              <w:right w:val="single" w:color="auto" w:sz="4" w:space="0"/>
            </w:tcBorders>
            <w:noWrap w:val="0"/>
            <w:vAlign w:val="center"/>
          </w:tcPr>
          <w:p w14:paraId="404DBC73">
            <w:pPr>
              <w:spacing w:line="360" w:lineRule="auto"/>
              <w:ind w:firstLine="482" w:firstLineChars="200"/>
              <w:jc w:val="center"/>
              <w:rPr>
                <w:rFonts w:hint="eastAsia" w:ascii="仿宋" w:hAnsi="仿宋" w:eastAsia="仿宋" w:cs="仿宋"/>
                <w:b/>
                <w:bCs w:val="0"/>
                <w:sz w:val="24"/>
              </w:rPr>
            </w:pPr>
          </w:p>
        </w:tc>
      </w:tr>
      <w:bookmarkEnd w:id="54"/>
    </w:tbl>
    <w:p w14:paraId="3AAEB055">
      <w:pPr>
        <w:numPr>
          <w:ilvl w:val="0"/>
          <w:numId w:val="0"/>
        </w:numPr>
        <w:tabs>
          <w:tab w:val="left" w:pos="1418"/>
        </w:tabs>
        <w:spacing w:line="360" w:lineRule="auto"/>
        <w:ind w:firstLine="456" w:firstLineChars="200"/>
        <w:jc w:val="left"/>
        <w:rPr>
          <w:rFonts w:hint="eastAsia" w:ascii="仿宋" w:hAnsi="仿宋" w:eastAsia="仿宋" w:cs="仿宋"/>
          <w:b w:val="0"/>
          <w:bCs/>
          <w:color w:val="auto"/>
          <w:spacing w:val="-6"/>
          <w:sz w:val="24"/>
          <w:szCs w:val="24"/>
          <w:highlight w:val="none"/>
          <w:u w:val="none"/>
          <w:lang w:val="en-US" w:eastAsia="zh-CN"/>
        </w:rPr>
      </w:pPr>
    </w:p>
    <w:p w14:paraId="0B3F15FE">
      <w:pPr>
        <w:snapToGrid w:val="0"/>
        <w:spacing w:line="360" w:lineRule="auto"/>
        <w:ind w:right="-21" w:firstLine="525"/>
        <w:rPr>
          <w:rFonts w:hint="eastAsia" w:ascii="Times New Roman" w:hAnsi="Times New Roman" w:eastAsia="仿宋"/>
          <w:sz w:val="24"/>
        </w:rPr>
      </w:pPr>
      <w:r>
        <w:rPr>
          <w:rFonts w:hint="eastAsia" w:ascii="Times New Roman" w:hAnsi="Times New Roman" w:eastAsia="仿宋"/>
          <w:bCs/>
          <w:spacing w:val="-4"/>
          <w:kern w:val="0"/>
          <w:sz w:val="24"/>
          <w:szCs w:val="20"/>
        </w:rPr>
        <w:t>注：以上货物每批次的采购数量</w:t>
      </w:r>
      <w:r>
        <w:rPr>
          <w:rFonts w:hint="eastAsia" w:ascii="Times New Roman" w:hAnsi="Times New Roman" w:eastAsia="仿宋"/>
          <w:bCs/>
          <w:spacing w:val="-4"/>
          <w:kern w:val="0"/>
          <w:sz w:val="24"/>
          <w:szCs w:val="20"/>
          <w:lang w:val="en-US" w:eastAsia="zh-CN"/>
        </w:rPr>
        <w:t>可</w:t>
      </w:r>
      <w:r>
        <w:rPr>
          <w:rFonts w:hint="eastAsia" w:ascii="Times New Roman" w:hAnsi="Times New Roman" w:eastAsia="仿宋"/>
          <w:bCs/>
          <w:spacing w:val="-4"/>
          <w:kern w:val="0"/>
          <w:sz w:val="24"/>
          <w:szCs w:val="20"/>
        </w:rPr>
        <w:t>由甲方确定，乙方分批次供货。价格</w:t>
      </w:r>
      <w:r>
        <w:rPr>
          <w:rFonts w:hint="eastAsia" w:ascii="Times New Roman" w:hAnsi="Times New Roman" w:eastAsia="仿宋"/>
          <w:sz w:val="24"/>
        </w:rPr>
        <w:t>包含产品到达甲方、安装调试验收合格交付乙方使用以及质保期服务等所需的一切费用。</w:t>
      </w:r>
    </w:p>
    <w:p w14:paraId="6F32BB72">
      <w:pPr>
        <w:spacing w:line="360" w:lineRule="auto"/>
        <w:ind w:firstLine="470" w:firstLineChars="196"/>
        <w:rPr>
          <w:rFonts w:hint="eastAsia" w:ascii="仿宋" w:hAnsi="仿宋" w:eastAsia="仿宋" w:cs="仿宋"/>
          <w:b w:val="0"/>
          <w:bCs/>
          <w:color w:val="auto"/>
          <w:sz w:val="24"/>
          <w:szCs w:val="24"/>
          <w:highlight w:val="none"/>
          <w:lang w:val="en-US" w:eastAsia="zh-CN"/>
        </w:rPr>
      </w:pPr>
    </w:p>
    <w:p w14:paraId="391C7A0E">
      <w:pPr>
        <w:spacing w:line="360" w:lineRule="auto"/>
        <w:ind w:firstLine="470" w:firstLineChars="196"/>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第二条：</w:t>
      </w:r>
      <w:r>
        <w:rPr>
          <w:rFonts w:hint="eastAsia" w:ascii="仿宋" w:hAnsi="仿宋" w:eastAsia="仿宋" w:cs="仿宋"/>
          <w:b w:val="0"/>
          <w:bCs/>
          <w:color w:val="auto"/>
          <w:sz w:val="24"/>
          <w:szCs w:val="24"/>
          <w:highlight w:val="none"/>
        </w:rPr>
        <w:t>交货期及交货地点</w:t>
      </w:r>
    </w:p>
    <w:p w14:paraId="54C4116E">
      <w:pPr>
        <w:numPr>
          <w:ilvl w:val="0"/>
          <w:numId w:val="3"/>
        </w:numPr>
        <w:snapToGrid w:val="0"/>
        <w:spacing w:line="360" w:lineRule="auto"/>
        <w:ind w:right="-21" w:firstLine="464" w:firstLineChars="200"/>
        <w:rPr>
          <w:rFonts w:ascii="Times New Roman" w:hAnsi="Times New Roman" w:eastAsia="仿宋"/>
          <w:bCs/>
          <w:spacing w:val="-4"/>
          <w:kern w:val="0"/>
          <w:sz w:val="24"/>
          <w:szCs w:val="20"/>
        </w:rPr>
      </w:pPr>
      <w:r>
        <w:rPr>
          <w:rFonts w:ascii="Times New Roman" w:hAnsi="Times New Roman" w:eastAsia="仿宋"/>
          <w:bCs/>
          <w:spacing w:val="-4"/>
          <w:kern w:val="0"/>
          <w:sz w:val="24"/>
          <w:szCs w:val="20"/>
        </w:rPr>
        <w:t>按</w:t>
      </w:r>
      <w:r>
        <w:rPr>
          <w:rFonts w:hint="eastAsia" w:ascii="Times New Roman" w:hAnsi="Times New Roman" w:eastAsia="仿宋"/>
          <w:bCs/>
          <w:spacing w:val="-4"/>
          <w:kern w:val="0"/>
          <w:sz w:val="24"/>
          <w:szCs w:val="20"/>
        </w:rPr>
        <w:t>甲方</w:t>
      </w:r>
      <w:r>
        <w:rPr>
          <w:rFonts w:ascii="Times New Roman" w:hAnsi="Times New Roman" w:eastAsia="仿宋"/>
          <w:bCs/>
          <w:spacing w:val="-4"/>
          <w:kern w:val="0"/>
          <w:sz w:val="24"/>
          <w:szCs w:val="20"/>
        </w:rPr>
        <w:t>要求分批次供货</w:t>
      </w:r>
      <w:r>
        <w:rPr>
          <w:rFonts w:hint="eastAsia" w:ascii="Times New Roman" w:hAnsi="Times New Roman" w:eastAsia="仿宋"/>
          <w:bCs/>
          <w:spacing w:val="-4"/>
          <w:kern w:val="0"/>
          <w:sz w:val="24"/>
          <w:szCs w:val="20"/>
        </w:rPr>
        <w:t>。</w:t>
      </w:r>
      <w:r>
        <w:rPr>
          <w:rFonts w:ascii="Times New Roman" w:hAnsi="Times New Roman" w:eastAsia="仿宋"/>
          <w:bCs/>
          <w:spacing w:val="-4"/>
          <w:kern w:val="0"/>
          <w:sz w:val="24"/>
          <w:szCs w:val="20"/>
        </w:rPr>
        <w:t>接到</w:t>
      </w:r>
      <w:r>
        <w:rPr>
          <w:rFonts w:hint="eastAsia" w:ascii="Times New Roman" w:hAnsi="Times New Roman" w:eastAsia="仿宋"/>
          <w:bCs/>
          <w:spacing w:val="-4"/>
          <w:kern w:val="0"/>
          <w:sz w:val="24"/>
          <w:szCs w:val="20"/>
        </w:rPr>
        <w:t>甲方</w:t>
      </w:r>
      <w:r>
        <w:rPr>
          <w:rFonts w:ascii="Times New Roman" w:hAnsi="Times New Roman" w:eastAsia="仿宋"/>
          <w:bCs/>
          <w:spacing w:val="-4"/>
          <w:kern w:val="0"/>
          <w:sz w:val="24"/>
          <w:szCs w:val="20"/>
        </w:rPr>
        <w:t>通知后</w:t>
      </w:r>
      <w:r>
        <w:rPr>
          <w:rFonts w:hint="eastAsia" w:ascii="Times New Roman" w:hAnsi="Times New Roman" w:eastAsia="仿宋"/>
          <w:bCs/>
          <w:spacing w:val="-4"/>
          <w:kern w:val="0"/>
          <w:sz w:val="24"/>
          <w:szCs w:val="20"/>
        </w:rPr>
        <w:t>15</w:t>
      </w:r>
      <w:r>
        <w:rPr>
          <w:rFonts w:ascii="Times New Roman" w:hAnsi="Times New Roman" w:eastAsia="仿宋"/>
          <w:bCs/>
          <w:spacing w:val="-4"/>
          <w:kern w:val="0"/>
          <w:sz w:val="24"/>
          <w:szCs w:val="20"/>
        </w:rPr>
        <w:t>天内完成采购、安装</w:t>
      </w:r>
      <w:r>
        <w:rPr>
          <w:rFonts w:hint="eastAsia" w:ascii="Times New Roman" w:hAnsi="Times New Roman" w:eastAsia="仿宋"/>
          <w:bCs/>
          <w:spacing w:val="-4"/>
          <w:kern w:val="0"/>
          <w:sz w:val="24"/>
          <w:szCs w:val="20"/>
        </w:rPr>
        <w:t>、</w:t>
      </w:r>
      <w:r>
        <w:rPr>
          <w:rFonts w:ascii="Times New Roman" w:hAnsi="Times New Roman" w:eastAsia="仿宋"/>
          <w:bCs/>
          <w:spacing w:val="-4"/>
          <w:kern w:val="0"/>
          <w:sz w:val="24"/>
          <w:szCs w:val="20"/>
        </w:rPr>
        <w:t>调试</w:t>
      </w:r>
      <w:r>
        <w:rPr>
          <w:rFonts w:hint="eastAsia" w:ascii="Times New Roman" w:hAnsi="Times New Roman" w:eastAsia="仿宋"/>
          <w:bCs/>
          <w:spacing w:val="-4"/>
          <w:kern w:val="0"/>
          <w:sz w:val="24"/>
          <w:szCs w:val="20"/>
          <w:lang w:eastAsia="zh-CN"/>
        </w:rPr>
        <w:t>，</w:t>
      </w:r>
      <w:r>
        <w:rPr>
          <w:rFonts w:ascii="Times New Roman" w:hAnsi="Times New Roman" w:eastAsia="仿宋"/>
          <w:bCs/>
          <w:spacing w:val="-4"/>
          <w:kern w:val="0"/>
          <w:sz w:val="24"/>
          <w:szCs w:val="20"/>
        </w:rPr>
        <w:t>并验收</w:t>
      </w:r>
      <w:r>
        <w:rPr>
          <w:rFonts w:hint="eastAsia" w:ascii="Times New Roman" w:hAnsi="Times New Roman" w:eastAsia="仿宋"/>
          <w:bCs/>
          <w:spacing w:val="-4"/>
          <w:kern w:val="0"/>
          <w:sz w:val="24"/>
          <w:szCs w:val="20"/>
        </w:rPr>
        <w:t>合格</w:t>
      </w:r>
      <w:r>
        <w:rPr>
          <w:rFonts w:ascii="Times New Roman" w:hAnsi="Times New Roman" w:eastAsia="仿宋"/>
          <w:bCs/>
          <w:spacing w:val="-4"/>
          <w:kern w:val="0"/>
          <w:sz w:val="24"/>
          <w:szCs w:val="20"/>
        </w:rPr>
        <w:t>交付</w:t>
      </w:r>
      <w:r>
        <w:rPr>
          <w:rFonts w:hint="eastAsia" w:ascii="Times New Roman" w:hAnsi="Times New Roman" w:eastAsia="仿宋"/>
          <w:bCs/>
          <w:spacing w:val="-4"/>
          <w:kern w:val="0"/>
          <w:sz w:val="24"/>
          <w:szCs w:val="20"/>
        </w:rPr>
        <w:t>甲方</w:t>
      </w:r>
      <w:r>
        <w:rPr>
          <w:rFonts w:ascii="Times New Roman" w:hAnsi="Times New Roman" w:eastAsia="仿宋"/>
          <w:bCs/>
          <w:spacing w:val="-4"/>
          <w:kern w:val="0"/>
          <w:sz w:val="24"/>
          <w:szCs w:val="20"/>
        </w:rPr>
        <w:t>。</w:t>
      </w:r>
      <w:r>
        <w:rPr>
          <w:rFonts w:hint="eastAsia" w:ascii="仿宋" w:hAnsi="仿宋" w:eastAsia="仿宋" w:cs="仿宋"/>
          <w:b w:val="0"/>
          <w:bCs/>
          <w:color w:val="auto"/>
          <w:spacing w:val="-6"/>
          <w:sz w:val="24"/>
          <w:szCs w:val="24"/>
          <w:highlight w:val="none"/>
        </w:rPr>
        <w:t>乙方必须向甲方提供必须具备的相关资料和必备的附件</w:t>
      </w:r>
      <w:r>
        <w:rPr>
          <w:rFonts w:hint="eastAsia" w:ascii="仿宋" w:hAnsi="仿宋" w:eastAsia="仿宋" w:cs="仿宋"/>
          <w:b w:val="0"/>
          <w:bCs/>
          <w:color w:val="auto"/>
          <w:sz w:val="24"/>
          <w:szCs w:val="24"/>
          <w:highlight w:val="none"/>
        </w:rPr>
        <w:t>。</w:t>
      </w:r>
    </w:p>
    <w:p w14:paraId="791CF642">
      <w:pPr>
        <w:numPr>
          <w:ilvl w:val="0"/>
          <w:numId w:val="3"/>
        </w:numPr>
        <w:snapToGrid w:val="0"/>
        <w:spacing w:line="360" w:lineRule="auto"/>
        <w:ind w:right="-21" w:firstLine="480" w:firstLineChars="200"/>
        <w:rPr>
          <w:rFonts w:hint="eastAsia" w:ascii="Times New Roman" w:hAnsi="Times New Roman" w:eastAsia="仿宋"/>
          <w:sz w:val="24"/>
          <w:u w:val="single"/>
        </w:rPr>
      </w:pPr>
      <w:r>
        <w:rPr>
          <w:rFonts w:hint="eastAsia" w:ascii="Times New Roman" w:hAnsi="Times New Roman" w:eastAsia="仿宋"/>
          <w:sz w:val="24"/>
        </w:rPr>
        <w:t>交货地点：</w:t>
      </w:r>
      <w:r>
        <w:rPr>
          <w:rFonts w:hint="eastAsia" w:ascii="Times New Roman" w:hAnsi="Times New Roman" w:eastAsia="仿宋"/>
          <w:sz w:val="24"/>
          <w:u w:val="single"/>
        </w:rPr>
        <w:t xml:space="preserve">甲方指定地点。  </w:t>
      </w:r>
    </w:p>
    <w:p w14:paraId="54D35005">
      <w:pPr>
        <w:spacing w:line="360" w:lineRule="auto"/>
        <w:ind w:firstLine="456" w:firstLineChars="200"/>
        <w:rPr>
          <w:rFonts w:hint="eastAsia" w:ascii="仿宋" w:hAnsi="仿宋" w:eastAsia="仿宋" w:cs="仿宋"/>
          <w:b w:val="0"/>
          <w:bCs/>
          <w:color w:val="auto"/>
          <w:spacing w:val="-6"/>
          <w:sz w:val="24"/>
          <w:szCs w:val="24"/>
          <w:highlight w:val="none"/>
        </w:rPr>
      </w:pPr>
    </w:p>
    <w:p w14:paraId="67607F15">
      <w:pPr>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w:t>
      </w:r>
      <w:r>
        <w:rPr>
          <w:rFonts w:hint="eastAsia" w:ascii="仿宋" w:hAnsi="仿宋" w:eastAsia="仿宋" w:cs="仿宋"/>
          <w:b w:val="0"/>
          <w:bCs/>
          <w:color w:val="auto"/>
          <w:spacing w:val="-6"/>
          <w:sz w:val="24"/>
          <w:szCs w:val="24"/>
          <w:highlight w:val="none"/>
          <w:lang w:val="en-US" w:eastAsia="zh-CN"/>
        </w:rPr>
        <w:t>三</w:t>
      </w:r>
      <w:r>
        <w:rPr>
          <w:rFonts w:hint="eastAsia" w:ascii="仿宋" w:hAnsi="仿宋" w:eastAsia="仿宋" w:cs="仿宋"/>
          <w:b w:val="0"/>
          <w:bCs/>
          <w:color w:val="auto"/>
          <w:spacing w:val="-6"/>
          <w:sz w:val="24"/>
          <w:szCs w:val="24"/>
          <w:highlight w:val="none"/>
        </w:rPr>
        <w:t>条：质量保证</w:t>
      </w:r>
    </w:p>
    <w:p w14:paraId="18A40E83">
      <w:pPr>
        <w:snapToGrid w:val="0"/>
        <w:spacing w:line="360" w:lineRule="auto"/>
        <w:ind w:firstLine="480"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乙方保证提供产品的质量符合国家标准、和行业规范，确保是正品，确保所供</w:t>
      </w:r>
      <w:r>
        <w:rPr>
          <w:rFonts w:hint="eastAsia" w:ascii="仿宋" w:hAnsi="仿宋" w:eastAsia="仿宋" w:cs="仿宋"/>
          <w:b w:val="0"/>
          <w:bCs/>
          <w:color w:val="auto"/>
          <w:sz w:val="24"/>
          <w:szCs w:val="24"/>
          <w:highlight w:val="none"/>
          <w:lang w:val="en-US" w:eastAsia="zh-CN"/>
        </w:rPr>
        <w:t>货物满足甲方需求</w:t>
      </w:r>
      <w:r>
        <w:rPr>
          <w:rFonts w:hint="eastAsia" w:ascii="仿宋" w:hAnsi="仿宋" w:eastAsia="仿宋" w:cs="仿宋"/>
          <w:b w:val="0"/>
          <w:bCs/>
          <w:color w:val="auto"/>
          <w:sz w:val="24"/>
          <w:szCs w:val="24"/>
          <w:highlight w:val="none"/>
        </w:rPr>
        <w:t>，不得提供</w:t>
      </w:r>
      <w:r>
        <w:rPr>
          <w:rFonts w:hint="eastAsia" w:ascii="仿宋" w:hAnsi="仿宋" w:eastAsia="仿宋" w:cs="仿宋"/>
          <w:b w:val="0"/>
          <w:bCs/>
          <w:color w:val="auto"/>
          <w:sz w:val="24"/>
          <w:szCs w:val="24"/>
          <w:highlight w:val="none"/>
          <w:lang w:val="en-US" w:eastAsia="zh-CN"/>
        </w:rPr>
        <w:t>不符合相关标准的货物</w:t>
      </w:r>
      <w:r>
        <w:rPr>
          <w:rFonts w:hint="eastAsia" w:ascii="仿宋" w:hAnsi="仿宋" w:eastAsia="仿宋" w:cs="仿宋"/>
          <w:b w:val="0"/>
          <w:bCs/>
          <w:color w:val="auto"/>
          <w:spacing w:val="-6"/>
          <w:sz w:val="24"/>
          <w:szCs w:val="24"/>
          <w:highlight w:val="none"/>
        </w:rPr>
        <w:t>。</w:t>
      </w:r>
    </w:p>
    <w:p w14:paraId="22E34A55">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乙方承诺按照投标样品保质保量提供给甲方相应数量</w:t>
      </w:r>
      <w:r>
        <w:rPr>
          <w:rFonts w:hint="eastAsia" w:ascii="仿宋" w:hAnsi="仿宋" w:eastAsia="仿宋" w:cs="仿宋"/>
          <w:b w:val="0"/>
          <w:bCs/>
          <w:color w:val="auto"/>
          <w:spacing w:val="-6"/>
          <w:sz w:val="24"/>
          <w:szCs w:val="24"/>
          <w:highlight w:val="none"/>
          <w:lang w:eastAsia="zh-CN"/>
        </w:rPr>
        <w:t>的</w:t>
      </w:r>
      <w:r>
        <w:rPr>
          <w:rFonts w:hint="eastAsia" w:ascii="仿宋" w:hAnsi="仿宋" w:eastAsia="仿宋" w:cs="仿宋"/>
          <w:b w:val="0"/>
          <w:bCs/>
          <w:color w:val="auto"/>
          <w:spacing w:val="-6"/>
          <w:sz w:val="24"/>
          <w:szCs w:val="24"/>
          <w:highlight w:val="none"/>
          <w:lang w:val="en-US" w:eastAsia="zh-CN"/>
        </w:rPr>
        <w:t>货物</w:t>
      </w:r>
      <w:r>
        <w:rPr>
          <w:rFonts w:hint="eastAsia" w:ascii="仿宋" w:hAnsi="仿宋" w:eastAsia="仿宋" w:cs="仿宋"/>
          <w:b w:val="0"/>
          <w:bCs/>
          <w:color w:val="auto"/>
          <w:spacing w:val="-6"/>
          <w:sz w:val="24"/>
          <w:szCs w:val="24"/>
          <w:highlight w:val="none"/>
        </w:rPr>
        <w:t>，所有物品厂家信息、厂址、联系电话明确标示。</w:t>
      </w:r>
    </w:p>
    <w:p w14:paraId="7FC8BE1E">
      <w:pPr>
        <w:snapToGrid w:val="0"/>
        <w:spacing w:line="360" w:lineRule="auto"/>
        <w:rPr>
          <w:rFonts w:hint="eastAsia" w:ascii="仿宋" w:hAnsi="仿宋" w:eastAsia="仿宋" w:cs="仿宋"/>
          <w:b w:val="0"/>
          <w:bCs/>
          <w:color w:val="auto"/>
          <w:spacing w:val="-6"/>
          <w:sz w:val="24"/>
          <w:szCs w:val="24"/>
          <w:highlight w:val="none"/>
        </w:rPr>
      </w:pPr>
    </w:p>
    <w:p w14:paraId="01CB36C4">
      <w:pPr>
        <w:snapToGrid w:val="0"/>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w:t>
      </w:r>
      <w:r>
        <w:rPr>
          <w:rFonts w:hint="eastAsia" w:ascii="仿宋" w:hAnsi="仿宋" w:eastAsia="仿宋" w:cs="仿宋"/>
          <w:b w:val="0"/>
          <w:bCs/>
          <w:color w:val="auto"/>
          <w:spacing w:val="-6"/>
          <w:sz w:val="24"/>
          <w:szCs w:val="24"/>
          <w:highlight w:val="none"/>
          <w:lang w:val="en-US" w:eastAsia="zh-CN"/>
        </w:rPr>
        <w:t>四</w:t>
      </w:r>
      <w:r>
        <w:rPr>
          <w:rFonts w:hint="eastAsia" w:ascii="仿宋" w:hAnsi="仿宋" w:eastAsia="仿宋" w:cs="仿宋"/>
          <w:b w:val="0"/>
          <w:bCs/>
          <w:color w:val="auto"/>
          <w:spacing w:val="-6"/>
          <w:sz w:val="24"/>
          <w:szCs w:val="24"/>
          <w:highlight w:val="none"/>
        </w:rPr>
        <w:t>条：付款方式</w:t>
      </w:r>
    </w:p>
    <w:p w14:paraId="386CEE31">
      <w:pPr>
        <w:snapToGrid w:val="0"/>
        <w:spacing w:line="360" w:lineRule="auto"/>
        <w:ind w:firstLine="446" w:firstLineChars="196"/>
        <w:rPr>
          <w:rFonts w:hint="eastAsia" w:ascii="仿宋" w:hAnsi="仿宋" w:eastAsia="仿宋" w:cs="仿宋"/>
          <w:b w:val="0"/>
          <w:bCs/>
          <w:color w:val="auto"/>
          <w:spacing w:val="-6"/>
          <w:sz w:val="24"/>
          <w:szCs w:val="24"/>
          <w:highlight w:val="none"/>
          <w:lang w:val="en-US" w:eastAsia="zh-CN"/>
        </w:rPr>
      </w:pPr>
      <w:r>
        <w:rPr>
          <w:rFonts w:hint="eastAsia" w:ascii="仿宋" w:hAnsi="仿宋" w:eastAsia="仿宋" w:cs="仿宋"/>
          <w:b w:val="0"/>
          <w:bCs/>
          <w:color w:val="auto"/>
          <w:spacing w:val="-6"/>
          <w:sz w:val="24"/>
          <w:szCs w:val="24"/>
          <w:highlight w:val="none"/>
          <w:lang w:val="en-US" w:eastAsia="zh-CN"/>
        </w:rPr>
        <w:t>1、按实结算。</w:t>
      </w:r>
    </w:p>
    <w:p w14:paraId="61C2F321">
      <w:pPr>
        <w:snapToGrid w:val="0"/>
        <w:spacing w:line="360" w:lineRule="auto"/>
        <w:ind w:firstLine="470" w:firstLineChars="196"/>
        <w:rPr>
          <w:rFonts w:hint="eastAsia" w:ascii="仿宋" w:hAnsi="仿宋" w:eastAsia="仿宋" w:cs="仿宋"/>
          <w:b w:val="0"/>
          <w:bCs/>
          <w:color w:val="auto"/>
          <w:spacing w:val="-6"/>
          <w:sz w:val="24"/>
          <w:szCs w:val="24"/>
          <w:highlight w:val="none"/>
        </w:rPr>
      </w:pPr>
      <w:bookmarkStart w:id="55" w:name="_Hlk533729380"/>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货到验收合格后二个月内支付全部货款</w:t>
      </w:r>
      <w:bookmarkEnd w:id="55"/>
      <w:r>
        <w:rPr>
          <w:rFonts w:hint="eastAsia" w:ascii="仿宋" w:hAnsi="仿宋" w:eastAsia="仿宋" w:cs="仿宋"/>
          <w:b w:val="0"/>
          <w:bCs/>
          <w:color w:val="auto"/>
          <w:sz w:val="24"/>
          <w:szCs w:val="24"/>
          <w:highlight w:val="none"/>
        </w:rPr>
        <w:t>。甲方付款前，乙方须提供符合甲方要求的发票，否则甲方有权拒绝付款。</w:t>
      </w:r>
    </w:p>
    <w:p w14:paraId="7FF7161F">
      <w:pPr>
        <w:snapToGrid w:val="0"/>
        <w:spacing w:line="360" w:lineRule="auto"/>
        <w:ind w:firstLine="446" w:firstLineChars="196"/>
        <w:rPr>
          <w:rFonts w:hint="eastAsia" w:ascii="仿宋" w:hAnsi="仿宋" w:eastAsia="仿宋" w:cs="仿宋"/>
          <w:b w:val="0"/>
          <w:bCs/>
          <w:color w:val="auto"/>
          <w:spacing w:val="-6"/>
          <w:sz w:val="24"/>
          <w:szCs w:val="24"/>
          <w:highlight w:val="none"/>
        </w:rPr>
      </w:pPr>
    </w:p>
    <w:p w14:paraId="01AF36E6">
      <w:pPr>
        <w:snapToGrid w:val="0"/>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w:t>
      </w:r>
      <w:r>
        <w:rPr>
          <w:rFonts w:hint="eastAsia" w:ascii="仿宋" w:hAnsi="仿宋" w:eastAsia="仿宋" w:cs="仿宋"/>
          <w:b w:val="0"/>
          <w:bCs/>
          <w:color w:val="auto"/>
          <w:spacing w:val="-6"/>
          <w:sz w:val="24"/>
          <w:szCs w:val="24"/>
          <w:highlight w:val="none"/>
          <w:lang w:val="en-US" w:eastAsia="zh-CN"/>
        </w:rPr>
        <w:t>五</w:t>
      </w:r>
      <w:r>
        <w:rPr>
          <w:rFonts w:hint="eastAsia" w:ascii="仿宋" w:hAnsi="仿宋" w:eastAsia="仿宋" w:cs="仿宋"/>
          <w:b w:val="0"/>
          <w:bCs/>
          <w:color w:val="auto"/>
          <w:spacing w:val="-6"/>
          <w:sz w:val="24"/>
          <w:szCs w:val="24"/>
          <w:highlight w:val="none"/>
        </w:rPr>
        <w:t>条：违约责任</w:t>
      </w:r>
    </w:p>
    <w:p w14:paraId="5EA24CB5">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甲乙双方必须严格履行合同及招投标文件的约定，无特殊理由，任何一方不得擅自改变或终止合同内容。在合同履行过程中，如因甲方上级行政管理部门的要求无法履行其合同义务，合同终止，双方不追究违约责任。</w:t>
      </w:r>
    </w:p>
    <w:p w14:paraId="37FAB7A4">
      <w:pPr>
        <w:snapToGrid w:val="0"/>
        <w:spacing w:line="360" w:lineRule="auto"/>
        <w:ind w:firstLine="456" w:firstLineChars="200"/>
        <w:rPr>
          <w:rFonts w:hint="eastAsia" w:ascii="仿宋" w:hAnsi="仿宋" w:eastAsia="仿宋" w:cs="仿宋"/>
          <w:b w:val="0"/>
          <w:bCs/>
          <w:color w:val="auto"/>
          <w:spacing w:val="-6"/>
          <w:sz w:val="24"/>
          <w:szCs w:val="24"/>
          <w:highlight w:val="none"/>
        </w:rPr>
      </w:pPr>
    </w:p>
    <w:p w14:paraId="41FF56EC">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w:t>
      </w:r>
      <w:r>
        <w:rPr>
          <w:rFonts w:hint="eastAsia" w:ascii="仿宋" w:hAnsi="仿宋" w:eastAsia="仿宋" w:cs="仿宋"/>
          <w:b w:val="0"/>
          <w:bCs/>
          <w:color w:val="auto"/>
          <w:spacing w:val="-6"/>
          <w:sz w:val="24"/>
          <w:szCs w:val="24"/>
          <w:highlight w:val="none"/>
          <w:lang w:val="en-US" w:eastAsia="zh-CN"/>
        </w:rPr>
        <w:t>六</w:t>
      </w:r>
      <w:r>
        <w:rPr>
          <w:rFonts w:hint="eastAsia" w:ascii="仿宋" w:hAnsi="仿宋" w:eastAsia="仿宋" w:cs="仿宋"/>
          <w:b w:val="0"/>
          <w:bCs/>
          <w:color w:val="auto"/>
          <w:spacing w:val="-6"/>
          <w:sz w:val="24"/>
          <w:szCs w:val="24"/>
          <w:highlight w:val="none"/>
        </w:rPr>
        <w:t>条：争议的解决</w:t>
      </w:r>
    </w:p>
    <w:p w14:paraId="7C8D5B32">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本合同中所指甲方与乙方享有同等权力，在发生所供货物的质量、售后服务等问题时，甲方有权直接要求乙方承担合同总价</w:t>
      </w:r>
      <w:r>
        <w:rPr>
          <w:rFonts w:hint="eastAsia" w:ascii="仿宋" w:hAnsi="仿宋" w:eastAsia="仿宋" w:cs="仿宋"/>
          <w:b w:val="0"/>
          <w:bCs/>
          <w:color w:val="auto"/>
          <w:spacing w:val="-6"/>
          <w:sz w:val="24"/>
          <w:szCs w:val="24"/>
          <w:highlight w:val="none"/>
          <w:lang w:val="en-US" w:eastAsia="zh-CN"/>
        </w:rPr>
        <w:t>2</w:t>
      </w:r>
      <w:r>
        <w:rPr>
          <w:rFonts w:hint="eastAsia" w:ascii="仿宋" w:hAnsi="仿宋" w:eastAsia="仿宋" w:cs="仿宋"/>
          <w:b w:val="0"/>
          <w:bCs/>
          <w:color w:val="auto"/>
          <w:spacing w:val="-6"/>
          <w:sz w:val="24"/>
          <w:szCs w:val="24"/>
          <w:highlight w:val="none"/>
        </w:rPr>
        <w:t>0%的违约责任，若有其他损失的，所有损失由乙方承担；同时甲方有权解除合同。本合同的争议，任何一方有权在甲方所在地选择仲裁或诉讼的途径解决。</w:t>
      </w:r>
    </w:p>
    <w:p w14:paraId="55DD4F82">
      <w:pPr>
        <w:snapToGrid w:val="0"/>
        <w:spacing w:line="360" w:lineRule="auto"/>
        <w:ind w:firstLine="456" w:firstLineChars="200"/>
        <w:rPr>
          <w:rFonts w:hint="eastAsia" w:ascii="仿宋" w:hAnsi="仿宋" w:eastAsia="仿宋" w:cs="仿宋"/>
          <w:b w:val="0"/>
          <w:bCs/>
          <w:color w:val="auto"/>
          <w:spacing w:val="-6"/>
          <w:sz w:val="24"/>
          <w:szCs w:val="24"/>
          <w:highlight w:val="none"/>
        </w:rPr>
      </w:pPr>
    </w:p>
    <w:p w14:paraId="28EBC34E">
      <w:pPr>
        <w:snapToGrid w:val="0"/>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w:t>
      </w:r>
      <w:r>
        <w:rPr>
          <w:rFonts w:hint="eastAsia" w:ascii="仿宋" w:hAnsi="仿宋" w:eastAsia="仿宋" w:cs="仿宋"/>
          <w:b w:val="0"/>
          <w:bCs/>
          <w:color w:val="auto"/>
          <w:spacing w:val="-6"/>
          <w:sz w:val="24"/>
          <w:szCs w:val="24"/>
          <w:highlight w:val="none"/>
          <w:lang w:val="en-US" w:eastAsia="zh-CN"/>
        </w:rPr>
        <w:t>七</w:t>
      </w:r>
      <w:r>
        <w:rPr>
          <w:rFonts w:hint="eastAsia" w:ascii="仿宋" w:hAnsi="仿宋" w:eastAsia="仿宋" w:cs="仿宋"/>
          <w:b w:val="0"/>
          <w:bCs/>
          <w:color w:val="auto"/>
          <w:spacing w:val="-6"/>
          <w:sz w:val="24"/>
          <w:szCs w:val="24"/>
          <w:highlight w:val="none"/>
        </w:rPr>
        <w:t>条：合同的生效</w:t>
      </w:r>
    </w:p>
    <w:p w14:paraId="3F9C001B">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1、本合同经甲方、乙方法定代表人或其委托人签字并加盖双方公章后生效。</w:t>
      </w:r>
    </w:p>
    <w:p w14:paraId="00182C4E">
      <w:pPr>
        <w:snapToGrid w:val="0"/>
        <w:spacing w:line="360" w:lineRule="auto"/>
        <w:ind w:firstLine="456"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color w:val="auto"/>
          <w:spacing w:val="-6"/>
          <w:sz w:val="24"/>
          <w:szCs w:val="24"/>
          <w:highlight w:val="none"/>
        </w:rPr>
        <w:t>2、本合同一式二份，乙方执一份，甲方执一份</w:t>
      </w:r>
      <w:r>
        <w:rPr>
          <w:rFonts w:hint="eastAsia" w:ascii="仿宋" w:hAnsi="仿宋" w:eastAsia="仿宋" w:cs="仿宋"/>
          <w:b w:val="0"/>
          <w:bCs/>
          <w:color w:val="auto"/>
          <w:spacing w:val="-6"/>
          <w:sz w:val="24"/>
          <w:szCs w:val="24"/>
          <w:highlight w:val="none"/>
          <w:lang w:eastAsia="zh-CN"/>
        </w:rPr>
        <w:t>。</w:t>
      </w:r>
    </w:p>
    <w:p w14:paraId="0E97AED0">
      <w:pPr>
        <w:rPr>
          <w:rFonts w:hint="eastAsia" w:ascii="仿宋" w:hAnsi="仿宋" w:eastAsia="仿宋" w:cs="仿宋"/>
          <w:b/>
          <w:bCs w:val="0"/>
          <w:color w:val="auto"/>
          <w:sz w:val="24"/>
          <w:szCs w:val="24"/>
          <w:highlight w:val="none"/>
        </w:rPr>
      </w:pPr>
    </w:p>
    <w:p w14:paraId="0C550B8D">
      <w:pPr>
        <w:rPr>
          <w:rFonts w:hint="eastAsia" w:ascii="仿宋" w:hAnsi="仿宋" w:eastAsia="仿宋" w:cs="仿宋"/>
          <w:b/>
          <w:bCs w:val="0"/>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14:paraId="00A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58" w:type="dxa"/>
            <w:tcBorders>
              <w:top w:val="nil"/>
              <w:left w:val="nil"/>
              <w:bottom w:val="nil"/>
              <w:right w:val="nil"/>
            </w:tcBorders>
            <w:noWrap w:val="0"/>
            <w:vAlign w:val="center"/>
          </w:tcPr>
          <w:p w14:paraId="5BBC64F7">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甲方：</w:t>
            </w:r>
            <w:r>
              <w:rPr>
                <w:rFonts w:hint="eastAsia" w:ascii="仿宋" w:hAnsi="仿宋" w:eastAsia="仿宋" w:cs="仿宋"/>
                <w:b/>
                <w:bCs w:val="0"/>
                <w:color w:val="auto"/>
                <w:sz w:val="24"/>
                <w:szCs w:val="24"/>
                <w:highlight w:val="none"/>
              </w:rPr>
              <w:t>浙江中医药大学附属第二医院</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 xml:space="preserve">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乙方：</w:t>
            </w:r>
          </w:p>
          <w:p w14:paraId="58B7AE1B">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甲方代表：（签字）                             乙方代表：(签字）</w:t>
            </w:r>
          </w:p>
          <w:p w14:paraId="08C30077">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 xml:space="preserve">电话：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 xml:space="preserve"> 电话：</w:t>
            </w:r>
          </w:p>
        </w:tc>
      </w:tr>
    </w:tbl>
    <w:p w14:paraId="2E6FB65C">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p>
    <w:p w14:paraId="75CC83AA">
      <w:pPr>
        <w:rPr>
          <w:rFonts w:hint="eastAsia" w:ascii="仿宋" w:hAnsi="仿宋" w:eastAsia="仿宋" w:cs="仿宋"/>
          <w:b/>
          <w:bCs w:val="0"/>
          <w:color w:val="auto"/>
          <w:sz w:val="24"/>
          <w:szCs w:val="24"/>
          <w:highlight w:val="none"/>
        </w:rPr>
      </w:pPr>
    </w:p>
    <w:p w14:paraId="7C77AFD7">
      <w:pPr>
        <w:rPr>
          <w:rFonts w:hint="eastAsia" w:ascii="仿宋" w:hAnsi="仿宋" w:eastAsia="仿宋" w:cs="仿宋"/>
          <w:b/>
          <w:bCs w:val="0"/>
          <w:color w:val="auto"/>
          <w:sz w:val="24"/>
          <w:szCs w:val="24"/>
          <w:highlight w:val="none"/>
        </w:rPr>
      </w:pPr>
    </w:p>
    <w:p w14:paraId="35F97F28">
      <w:pPr>
        <w:jc w:val="center"/>
        <w:rPr>
          <w:rFonts w:hint="eastAsia" w:ascii="仿宋" w:hAnsi="仿宋" w:eastAsia="仿宋" w:cs="仿宋"/>
          <w:b/>
          <w:color w:val="auto"/>
          <w:sz w:val="24"/>
          <w:highlight w:val="none"/>
        </w:rPr>
      </w:pP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 签约日期：202</w:t>
      </w:r>
      <w:r>
        <w:rPr>
          <w:rFonts w:hint="eastAsia" w:ascii="仿宋" w:hAnsi="仿宋" w:eastAsia="仿宋" w:cs="仿宋"/>
          <w:b/>
          <w:bCs w:val="0"/>
          <w:color w:val="auto"/>
          <w:sz w:val="24"/>
          <w:szCs w:val="24"/>
          <w:highlight w:val="none"/>
          <w:lang w:val="en-US" w:eastAsia="zh-CN"/>
        </w:rPr>
        <w:t>5</w:t>
      </w:r>
      <w:r>
        <w:rPr>
          <w:rFonts w:hint="eastAsia" w:ascii="仿宋" w:hAnsi="仿宋" w:eastAsia="仿宋" w:cs="仿宋"/>
          <w:b/>
          <w:bCs w:val="0"/>
          <w:color w:val="auto"/>
          <w:sz w:val="24"/>
          <w:szCs w:val="24"/>
          <w:highlight w:val="none"/>
        </w:rPr>
        <w:t>年  月  日</w:t>
      </w:r>
    </w:p>
    <w:p w14:paraId="084E9426">
      <w:pPr>
        <w:spacing w:line="276" w:lineRule="auto"/>
        <w:jc w:val="both"/>
        <w:rPr>
          <w:rFonts w:hint="eastAsia" w:ascii="仿宋" w:hAnsi="仿宋" w:eastAsia="仿宋" w:cs="仿宋"/>
          <w:b/>
          <w:color w:val="auto"/>
          <w:sz w:val="24"/>
          <w:highlight w:val="none"/>
        </w:rPr>
      </w:pPr>
    </w:p>
    <w:p w14:paraId="58C39CFA">
      <w:pPr>
        <w:spacing w:line="276"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廉政协议书</w:t>
      </w:r>
    </w:p>
    <w:p w14:paraId="774C5426">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浙江中医药大学附属第二医院</w:t>
      </w:r>
      <w:r>
        <w:rPr>
          <w:rFonts w:hint="eastAsia" w:ascii="仿宋" w:hAnsi="仿宋" w:eastAsia="仿宋" w:cs="仿宋"/>
          <w:color w:val="auto"/>
          <w:sz w:val="24"/>
          <w:highlight w:val="none"/>
          <w:u w:val="single"/>
          <w:lang w:val="en-US" w:eastAsia="zh-CN"/>
        </w:rPr>
        <w:t xml:space="preserve">  </w:t>
      </w:r>
    </w:p>
    <w:p w14:paraId="0BE776C0">
      <w:pPr>
        <w:keepNext w:val="0"/>
        <w:keepLines w:val="0"/>
        <w:pageBreakBefore w:val="0"/>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lang w:val="en-US" w:eastAsia="zh-CN"/>
        </w:rPr>
        <w:t xml:space="preserve">                             </w:t>
      </w:r>
    </w:p>
    <w:p w14:paraId="588EA6B1">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p>
    <w:p w14:paraId="7EEBBEA3">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为了进一步规范医院设备、物资采购、建设项目的采购工作，认真贯彻公平、公正、公开的原则，建立有效的反商业贿赂机制，加强党风廉政建设，防止经营活动中不正之风和腐败现象的发生，经双方协商同意 ，签订本协议。</w:t>
      </w:r>
    </w:p>
    <w:p w14:paraId="163A2AC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协议双方须严格遵守国家法律和廉政建设各项规定及物资采购合同。双方有相互监督、遵纪守法、履行合同的义务和权利。</w:t>
      </w:r>
    </w:p>
    <w:p w14:paraId="2837BE7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发包人及有关工作人员不得利用职务便利以任何理由向承包人索要回扣、佣金、礼金礼券、礼卡及各种有价证券；不得去承包人报销应有发包人及个人支付的费用；不得参加可能对公正执行公务有影响的宴请、资助旅游和各种营业性娱乐活动；不得对承包人无理刁难或设卡。</w:t>
      </w:r>
    </w:p>
    <w:p w14:paraId="5E81C8D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承包人在经营活动中必须遵守法律法规和合同规定，不得为获取自身利益而向发包人及有关工作人员赠送现金、礼金礼券、礼卡及各种有价证券；不得与发包人及有关工作人员就合同的有关事宜进行任何不正当的私下交易；不得以洽谈业务、签订合同等为借口邀请发包人及有关工作人员参加宴请、旅游和其他营业性娱乐活动。</w:t>
      </w:r>
    </w:p>
    <w:p w14:paraId="6D0B858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承包人对发包人及有关工作人员的违法违纪行为和不正当要求，可及时据实向发包人纪检、监察部门投诉和举报。</w:t>
      </w:r>
    </w:p>
    <w:p w14:paraId="2783DA5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第五条  对违反本协议者，根据其后果和违纪程度，可以做出以下处理：批评、诫勉；党纪政纪处分；追究法律责任；追究违约方经济责任；中止合同。    </w:t>
      </w:r>
    </w:p>
    <w:p w14:paraId="3CD1D2D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本协议贯穿于整个经营过程，在货物验收时：应一并考核本协议的履行结果。</w:t>
      </w:r>
    </w:p>
    <w:p w14:paraId="0B43794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医院纪委、监察部门负责本合同的廉政监督，投诉、举报受理和违法违纪行为的查处。</w:t>
      </w:r>
    </w:p>
    <w:p w14:paraId="70905A2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本协议作为双方合同的附件，经双方签署后生效。</w:t>
      </w:r>
    </w:p>
    <w:p w14:paraId="2439A51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p>
    <w:p w14:paraId="7F6E10A9">
      <w:pPr>
        <w:widowControl/>
        <w:spacing w:line="360" w:lineRule="auto"/>
        <w:jc w:val="left"/>
        <w:rPr>
          <w:rFonts w:hint="eastAsia" w:ascii="仿宋" w:hAnsi="仿宋" w:eastAsia="仿宋" w:cs="仿宋"/>
          <w:color w:val="auto"/>
          <w:sz w:val="24"/>
          <w:szCs w:val="24"/>
          <w:highlight w:val="none"/>
        </w:rPr>
      </w:pPr>
    </w:p>
    <w:p w14:paraId="4C278B2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采购人(盖章)：                          供应商(盖章、签字) ：</w:t>
      </w:r>
    </w:p>
    <w:p w14:paraId="67FE1185">
      <w:pPr>
        <w:rPr>
          <w:rFonts w:hint="eastAsia" w:ascii="仿宋" w:hAnsi="仿宋" w:eastAsia="仿宋" w:cs="仿宋"/>
          <w:color w:val="auto"/>
          <w:sz w:val="24"/>
          <w:szCs w:val="24"/>
          <w:highlight w:val="none"/>
        </w:rPr>
      </w:pPr>
    </w:p>
    <w:p w14:paraId="70E43202">
      <w:pPr>
        <w:rPr>
          <w:rFonts w:hint="eastAsia" w:ascii="仿宋" w:hAnsi="仿宋" w:eastAsia="仿宋" w:cs="仿宋"/>
          <w:color w:val="auto"/>
          <w:sz w:val="24"/>
          <w:szCs w:val="24"/>
          <w:highlight w:val="none"/>
        </w:rPr>
      </w:pPr>
    </w:p>
    <w:p w14:paraId="3CC73556">
      <w:pPr>
        <w:rPr>
          <w:rFonts w:hint="eastAsia" w:ascii="仿宋" w:hAnsi="仿宋" w:eastAsia="仿宋" w:cs="仿宋"/>
          <w:color w:val="auto"/>
          <w:sz w:val="24"/>
          <w:szCs w:val="24"/>
          <w:highlight w:val="none"/>
        </w:rPr>
      </w:pPr>
    </w:p>
    <w:p w14:paraId="2F8B88BD">
      <w:pPr>
        <w:rPr>
          <w:rFonts w:hint="eastAsia" w:ascii="仿宋" w:hAnsi="仿宋" w:eastAsia="仿宋" w:cs="仿宋"/>
          <w:color w:val="auto"/>
          <w:sz w:val="24"/>
          <w:szCs w:val="24"/>
          <w:highlight w:val="none"/>
        </w:rPr>
      </w:pPr>
    </w:p>
    <w:p w14:paraId="7CE953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签订日期：    年   月   日</w:t>
      </w:r>
    </w:p>
    <w:p w14:paraId="629479E0">
      <w:pPr>
        <w:rPr>
          <w:rFonts w:hint="eastAsia" w:ascii="仿宋" w:hAnsi="仿宋" w:eastAsia="仿宋" w:cs="仿宋"/>
          <w:color w:val="auto"/>
          <w:highlight w:val="none"/>
        </w:rPr>
      </w:pPr>
    </w:p>
    <w:p w14:paraId="734DC1D1">
      <w:pPr>
        <w:pStyle w:val="2"/>
        <w:rPr>
          <w:rFonts w:hint="eastAsia" w:ascii="仿宋" w:hAnsi="仿宋" w:eastAsia="仿宋" w:cs="仿宋"/>
          <w:color w:val="auto"/>
          <w:highlight w:val="none"/>
        </w:rPr>
      </w:pPr>
    </w:p>
    <w:p w14:paraId="3432400D">
      <w:bookmarkStart w:id="56" w:name="_GoBack"/>
      <w:bookmarkEnd w:id="56"/>
    </w:p>
    <w:sectPr>
      <w:headerReference r:id="rId6" w:type="default"/>
      <w:footerReference r:id="rId7" w:type="default"/>
      <w:pgSz w:w="11907" w:h="16840"/>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6439">
    <w:pPr>
      <w:pStyle w:val="6"/>
      <w:rPr>
        <w:rStyle w:val="12"/>
        <w:rFonts w:hint="eastAsia"/>
      </w:rPr>
    </w:pPr>
  </w:p>
  <w:p w14:paraId="17B54258">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BE6D">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6C7D802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145D">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9AE360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path/>
              <v:fill on="f" focussize="0,0"/>
              <v:stroke on="f"/>
              <v:imagedata o:title=""/>
              <o:lock v:ext="edit" grouping="f" rotation="f" text="f" aspectratio="f"/>
              <v:textbox inset="0mm,0mm,0mm,0mm" style="mso-fit-shape-to-text:t;">
                <w:txbxContent>
                  <w:p w14:paraId="19AE360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1492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B0681">
    <w:pPr>
      <w:pStyle w:val="7"/>
      <w:pBdr>
        <w:bottom w:val="single" w:color="auto" w:sz="6" w:space="0"/>
      </w:pBdr>
      <w:jc w:val="right"/>
      <w:rPr>
        <w:rFonts w:ascii="宋体" w:hAnsi="宋体"/>
        <w:szCs w:val="18"/>
      </w:rPr>
    </w:pPr>
    <w:r>
      <w:rPr>
        <w:rFonts w:hint="eastAsia" w:ascii="宋体" w:hAnsi="宋体"/>
        <w:szCs w:val="18"/>
      </w:rPr>
      <w:t>浙江中医药大学附属第二医院</w:t>
    </w:r>
    <w:r>
      <w:rPr>
        <w:rFonts w:hint="eastAsia" w:ascii="宋体" w:hAnsi="宋体"/>
        <w:szCs w:val="18"/>
        <w:lang w:val="en-US" w:eastAsia="zh-CN"/>
      </w:rPr>
      <w:t>院内</w:t>
    </w:r>
    <w:r>
      <w:rPr>
        <w:rFonts w:hint="eastAsia" w:ascii="宋体" w:hAnsi="宋体"/>
        <w:szCs w:val="18"/>
        <w:lang w:eastAsia="zh-CN"/>
      </w:rPr>
      <w:t>招标</w:t>
    </w:r>
    <w:r>
      <w:rPr>
        <w:rFonts w:hint="eastAsia" w:ascii="宋体" w:hAnsi="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79E0"/>
    <w:multiLevelType w:val="singleLevel"/>
    <w:tmpl w:val="848F79E0"/>
    <w:lvl w:ilvl="0" w:tentative="0">
      <w:start w:val="5"/>
      <w:numFmt w:val="chineseCounting"/>
      <w:suff w:val="nothing"/>
      <w:lvlText w:val="%1、"/>
      <w:lvlJc w:val="left"/>
      <w:rPr>
        <w:rFonts w:hint="eastAsia"/>
      </w:rPr>
    </w:lvl>
  </w:abstractNum>
  <w:abstractNum w:abstractNumId="1">
    <w:nsid w:val="9AF53114"/>
    <w:multiLevelType w:val="singleLevel"/>
    <w:tmpl w:val="9AF53114"/>
    <w:lvl w:ilvl="0" w:tentative="0">
      <w:start w:val="5"/>
      <w:numFmt w:val="chineseCounting"/>
      <w:suff w:val="nothing"/>
      <w:lvlText w:val="%1、"/>
      <w:lvlJc w:val="left"/>
      <w:rPr>
        <w:rFonts w:hint="eastAsia"/>
      </w:rPr>
    </w:lvl>
  </w:abstractNum>
  <w:abstractNum w:abstractNumId="2">
    <w:nsid w:val="010B0035"/>
    <w:multiLevelType w:val="singleLevel"/>
    <w:tmpl w:val="010B003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D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paragraph" w:styleId="3">
    <w:name w:val="heading 2"/>
    <w:basedOn w:val="2"/>
    <w:next w:val="1"/>
    <w:qFormat/>
    <w:uiPriority w:val="0"/>
    <w:pPr>
      <w:keepNext/>
      <w:keepLines/>
      <w:spacing w:before="260" w:beforeLines="0" w:beforeAutospacing="0" w:after="260" w:afterLines="0" w:afterAutospacing="0" w:line="413" w:lineRule="auto"/>
      <w:outlineLvl w:val="1"/>
    </w:pPr>
    <w:rPr>
      <w:rFonts w:ascii="Arial" w:hAnsi="Arial"/>
      <w:sz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adjustRightInd w:val="0"/>
      <w:spacing w:line="360" w:lineRule="auto"/>
      <w:ind w:firstLine="490"/>
      <w:jc w:val="left"/>
    </w:pPr>
    <w:rPr>
      <w:rFonts w:hint="eastAsia" w:ascii="宋体" w:hAnsi="宋体"/>
      <w:sz w:val="24"/>
    </w:rPr>
  </w:style>
  <w:style w:type="paragraph" w:styleId="5">
    <w:name w:val="Plain Text"/>
    <w:basedOn w:val="1"/>
    <w:qFormat/>
    <w:uiPriority w:val="0"/>
    <w:rPr>
      <w:rFonts w:ascii="宋体" w:hAnsi="Courier New"/>
      <w:snapToGrid/>
      <w:sz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9">
    <w:name w:val="toc 2"/>
    <w:basedOn w:val="1"/>
    <w:next w:val="1"/>
    <w:uiPriority w:val="39"/>
    <w:pPr>
      <w:ind w:left="420" w:leftChars="200"/>
    </w:pPr>
  </w:style>
  <w:style w:type="character" w:styleId="12">
    <w:name w:val="page number"/>
    <w:qFormat/>
    <w:uiPriority w:val="0"/>
  </w:style>
  <w:style w:type="character" w:styleId="13">
    <w:name w:val="Hyperlink"/>
    <w:uiPriority w:val="0"/>
    <w:rPr>
      <w:color w:val="0000FF"/>
      <w:u w:val="single"/>
    </w:rPr>
  </w:style>
  <w:style w:type="paragraph" w:customStyle="1" w:styleId="14">
    <w:name w:val="正文文字"/>
    <w:basedOn w:val="1"/>
    <w:uiPriority w:val="0"/>
    <w:pPr>
      <w:widowControl/>
      <w:spacing w:line="952" w:lineRule="atLeast"/>
      <w:ind w:firstLine="419"/>
      <w:textAlignment w:val="baseline"/>
    </w:pPr>
    <w:rPr>
      <w:b/>
      <w:snapToGrid/>
      <w:color w:val="000000"/>
      <w:sz w:val="44"/>
      <w:u w:val="none" w:color="000000"/>
    </w:rPr>
  </w:style>
  <w:style w:type="character" w:customStyle="1" w:styleId="15">
    <w:name w:val="标题 1 Char"/>
    <w:uiPriority w:val="0"/>
    <w:rPr>
      <w:rFonts w:eastAsia="黑体"/>
      <w:b/>
      <w:snapToGrid w:val="0"/>
      <w:kern w:val="44"/>
      <w:sz w:val="36"/>
      <w:lang w:val="en-US" w:eastAsia="zh-CN"/>
    </w:rPr>
  </w:style>
  <w:style w:type="paragraph" w:customStyle="1" w:styleId="16">
    <w:name w:val="样式1"/>
    <w:basedOn w:val="1"/>
    <w:qFormat/>
    <w:uiPriority w:val="0"/>
    <w:pPr>
      <w:spacing w:line="360" w:lineRule="exact"/>
      <w:ind w:firstLine="200" w:firstLineChars="200"/>
    </w:pPr>
    <w:rPr>
      <w:rFonts w:ascii="Arial" w:hAnsi="Arial"/>
      <w:snapToGrid/>
      <w:kern w:val="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2025-04-21T09:14:06Z</dcterms:created>
  <dc:creator>Administrator</dc:creator>
  <cp:lastModifiedBy>GXX</cp:lastModifiedBy>
  <dcterms:modified xsi:type="dcterms:W3CDTF">2025-04-21T09:14:13Z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eyJoZGlkIjoiMDYwMTVjNDUxYjVmNWFiNjYxMGY3YmIxM2E2ZmY1NTMiLCJ1c2VySWQiOiI0MTQxMDc0NDIifQ==</vt:lpwstr>
  </property>
  <property fmtid="{D5CDD505-2E9C-101B-9397-08002B2CF9AE}" pid="4" name="ICV">
    <vt:lpwstr>7F910AD179E34E68AEEA33AA3F565F64_12</vt:lpwstr>
  </property>
</Properties>
</file>