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3C2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textAlignment w:val="baseline"/>
        <w:rPr>
          <w:rStyle w:val="9"/>
          <w:rFonts w:ascii="仿宋" w:hAnsi="仿宋" w:eastAsia="仿宋" w:cs="仿宋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浙江中医药大学附属第二医院（浙江省新华医院）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  <w:lang w:val="en-US" w:eastAsia="zh-CN"/>
        </w:rPr>
        <w:t>中医药传承创新基地项目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招采工作合规性自查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vertAlign w:val="baseline"/>
        </w:rPr>
        <w:t>服务的采购公告</w:t>
      </w:r>
      <w:bookmarkStart w:id="0" w:name="_GoBack"/>
      <w:bookmarkEnd w:id="0"/>
    </w:p>
    <w:p w14:paraId="3B8A1C91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xyy-2025-001</w:t>
      </w:r>
    </w:p>
    <w:p w14:paraId="415C8821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Chars="0" w:right="0" w:rightChars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二.采购方式：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自行采购、竞争性磋商</w:t>
      </w:r>
    </w:p>
    <w:p w14:paraId="51EC832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三.采购内容：</w:t>
      </w:r>
    </w:p>
    <w:p w14:paraId="3BA7EB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465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根据《中华人民共和国政府采购法》等有关规定，现就浙江中医药大学附属第二医院（浙江省新华医院）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中医药传承创新基地项目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招采工作合规性自查服务进行院内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议价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。</w:t>
      </w:r>
    </w:p>
    <w:p w14:paraId="38B49A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四．采购项目概况</w:t>
      </w:r>
    </w:p>
    <w:tbl>
      <w:tblPr>
        <w:tblStyle w:val="7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3476"/>
        <w:gridCol w:w="1273"/>
        <w:gridCol w:w="2449"/>
      </w:tblGrid>
      <w:tr w14:paraId="1B347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1D3882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序号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24CA296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内容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675CD3A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预算金额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 w14:paraId="09C9287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服务要求</w:t>
            </w:r>
          </w:p>
        </w:tc>
      </w:tr>
      <w:tr w14:paraId="43C9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DE8969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1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6EB9B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1、检查项目招投标过程是否符合现行国家及省、市规范文件要求；</w:t>
            </w:r>
          </w:p>
          <w:p w14:paraId="41D8542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2、检查项目招投标各项流程是否符合内控管理制度的要求；</w:t>
            </w:r>
          </w:p>
          <w:p w14:paraId="2321943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3、检查项目合同签订的流程、合同主要条款的设置是否符合现行国家及省、市规范文件要求；</w:t>
            </w:r>
          </w:p>
          <w:p w14:paraId="21CC7E9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4、对项目后续管理可能出现的问题，提供合理建议。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1C8325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  <w:t>.0万元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B5D08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人员要求：专项检查小组人员不少于4人，项目负责人必须具备注册一级造价工程师执业资格</w:t>
            </w:r>
          </w:p>
          <w:p w14:paraId="151D2B6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开展形式：现场专项检查不少于5个工作日。</w:t>
            </w:r>
          </w:p>
          <w:p w14:paraId="1F2939E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3、成果形式：形成专项检查报告。</w:t>
            </w:r>
          </w:p>
          <w:p w14:paraId="6FA6A4B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2A33770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五．基本资格要求</w:t>
      </w:r>
    </w:p>
    <w:p w14:paraId="1D122A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1．投标人须是在中华人民共和国境内注册的，具有独立法人资格并依法取得企业营业执照，营业执照处于有效期；</w:t>
      </w:r>
    </w:p>
    <w:p w14:paraId="7707A03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2．投标人具有中国建设工程造价管理协会认证的AA信用级工程造价咨询企业;</w:t>
      </w:r>
    </w:p>
    <w:p w14:paraId="10D166C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3．投标人须有良好的业绩和社会信誉，近3年内无违反法律法规、职业道德和执业准则的行为，无信用不良记录，没有处于被责令停业、投标资格被暂停或取消，财产被接管、冻结、破产等，或被行业主管部门禁止市场准入等情形，无因骗取中标或者严重违约以及发生重大审计咨询服务质量问题。</w:t>
      </w:r>
    </w:p>
    <w:p w14:paraId="467A300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4.项目负责人要求：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拟派造价咨询负责人具有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一级注册造价工程师执业资格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“建人[2018]67号”文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发布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之前取得的造价工程师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执业资格证书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与一级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注册造价工程师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等同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】；</w:t>
      </w:r>
    </w:p>
    <w:p w14:paraId="6C16F52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六．评审方式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：综合评分法。总分为100分，其中商务价格分30分，资信、服务、技术分70分。（评分表、报价表见附件）</w:t>
      </w:r>
    </w:p>
    <w:p w14:paraId="0227823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七．其他说明：</w:t>
      </w:r>
    </w:p>
    <w:p w14:paraId="388E75B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1.本项目无需缴纳保证金。</w:t>
      </w:r>
    </w:p>
    <w:p w14:paraId="52FC3A9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2.本次招标的投标资格审查采用资格后审方式。</w:t>
      </w:r>
    </w:p>
    <w:p w14:paraId="371B58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八．磋商文件组成内容：</w:t>
      </w:r>
    </w:p>
    <w:p w14:paraId="1E78F5D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1.投标函（格式自拟）</w:t>
      </w:r>
    </w:p>
    <w:p w14:paraId="5A85A9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2.投标函附表（格式自拟）</w:t>
      </w:r>
    </w:p>
    <w:p w14:paraId="141412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3.法定代表人资格证明</w:t>
      </w:r>
    </w:p>
    <w:p w14:paraId="2053D2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4.法定代表人授权委托书</w:t>
      </w:r>
    </w:p>
    <w:p w14:paraId="387D37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5.服务承诺（格式自拟）</w:t>
      </w:r>
    </w:p>
    <w:p w14:paraId="00D757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6.项目总体实施方案（格式自拟）</w:t>
      </w:r>
    </w:p>
    <w:p w14:paraId="23E777C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7.投标人基本情况表（格式自拟）</w:t>
      </w:r>
    </w:p>
    <w:p w14:paraId="481BAAD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8.投标人近三年（20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年4月起至今）类似服务业绩表</w:t>
      </w:r>
    </w:p>
    <w:p w14:paraId="2B3A67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9.拟派项目负责人基本情况表（格式自拟）</w:t>
      </w:r>
    </w:p>
    <w:p w14:paraId="182F22A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10.拟投入本项目的专职人员情况汇总表（格式自拟）</w:t>
      </w:r>
    </w:p>
    <w:p w14:paraId="38C67D9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11.投标人营业执照复印件</w:t>
      </w:r>
    </w:p>
    <w:p w14:paraId="09A941D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270" w:lineRule="atLeast"/>
        <w:ind w:left="84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12.投标人认为需要补充的其他文件</w:t>
      </w:r>
    </w:p>
    <w:p w14:paraId="10F8FBA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九．响应文件递交截止时间：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日16:30。凡符合条件并有投标意向的独立法人，请于20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日16:30（北京时间，下同），至浙江中医药大学附属第二医院参与投标。</w:t>
      </w:r>
    </w:p>
    <w:p w14:paraId="2DC8C1E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十．响应文件递交地点和时间：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浙江中医药大学附属第二医院（潮王院区），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：30，投标人法定代表人（或其授权代表）须随带法人代表授权书和本人身份证（复印件无效）以及密封的投标书（1正本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副本）准时到场参加开标会议，本次投标不接受邮寄及其他形式的投标。</w:t>
      </w:r>
    </w:p>
    <w:p w14:paraId="5F92738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十一.磋商文件要求：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正本 1 份，副本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份；文件正本、副本一起密封。</w:t>
      </w:r>
    </w:p>
    <w:p w14:paraId="1BAF170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仿宋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十二.磋商时间、地点：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：30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浙江中医药大学附属第二医院（潮王院区）</w:t>
      </w:r>
    </w:p>
    <w:p w14:paraId="503611D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十三．采购结果请关注我院官网进行的公示。</w:t>
      </w:r>
    </w:p>
    <w:p w14:paraId="4409AB8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十四．有关本项目投标的其它事宜，请与采购联系人联系。</w:t>
      </w:r>
    </w:p>
    <w:p w14:paraId="767B2D2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default" w:ascii="微软雅黑" w:hAnsi="微软雅黑" w:eastAsia="仿宋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新院区建设一期项目部徐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8"/>
          <w:szCs w:val="18"/>
          <w:shd w:val="clear" w:fill="FFFFFF"/>
          <w:vertAlign w:val="baseline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联系电话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：85267000</w:t>
      </w:r>
    </w:p>
    <w:p w14:paraId="4C26FE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588DA"/>
    <w:multiLevelType w:val="singleLevel"/>
    <w:tmpl w:val="748588DA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YzZkZWQyZWQ2ZmYwNjEzZTcyOTE1NDk2NGI0M2QifQ=="/>
  </w:docVars>
  <w:rsids>
    <w:rsidRoot w:val="00000000"/>
    <w:rsid w:val="0FDB309E"/>
    <w:rsid w:val="25371EEE"/>
    <w:rsid w:val="3CA44769"/>
    <w:rsid w:val="4C4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Plain Text"/>
    <w:basedOn w:val="5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1519</Words>
  <Characters>1630</Characters>
  <Lines>0</Lines>
  <Paragraphs>0</Paragraphs>
  <TotalTime>5</TotalTime>
  <ScaleCrop>false</ScaleCrop>
  <LinksUpToDate>false</LinksUpToDate>
  <CharactersWithSpaces>1633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2023-01-12T07:00:00Z</dcterms:created>
  <dc:creator>Administrator</dc:creator>
  <cp:lastModifiedBy>如果有如果</cp:lastModifiedBy>
  <dcterms:modified xsi:type="dcterms:W3CDTF">2025-04-16T08:24:32Z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1A18658C46664C9F88323B0B8DDE0690_13</vt:lpwstr>
  </property>
  <property fmtid="{D5CDD505-2E9C-101B-9397-08002B2CF9AE}" pid="4" name="KSOTemplateDocerSaveRecord">
    <vt:lpwstr>eyJoZGlkIjoiODk5ZmNjNDE3NGQwY2JmYzY1YTNiZDZjNTZmNzI5OTAiLCJ1c2VySWQiOiIyMTAzNDU5OTQifQ==</vt:lpwstr>
  </property>
</Properties>
</file>