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48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  <w:t>浙江中医药大学附属第二医院（浙江省新华医院）</w:t>
      </w:r>
    </w:p>
    <w:p w14:paraId="40CF8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  <w:t>新院区二期（新华国际医院）工程</w:t>
      </w:r>
      <w:r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  <w:lang w:eastAsia="zh-CN"/>
        </w:rPr>
        <w:t>地块清理</w:t>
      </w:r>
    </w:p>
    <w:p w14:paraId="0B134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  <w:t>院内议价公告</w:t>
      </w:r>
    </w:p>
    <w:p w14:paraId="361D2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一、采购人名称：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浙江中医药大学附属第二医院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 </w:t>
      </w:r>
    </w:p>
    <w:p w14:paraId="677B8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二、采购项目名称：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浙江中医药大学附属第二医院（浙江省新华医院）新院区二期（新华国际医院）工程地块清理项目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28"/>
          <w:szCs w:val="28"/>
        </w:rPr>
        <w:t> </w:t>
      </w:r>
    </w:p>
    <w:p w14:paraId="5F86B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三、采购项目编号：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JJK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-2024-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364C4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四、采购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方式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院内议价</w:t>
      </w:r>
    </w:p>
    <w:p w14:paraId="4106C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根据《中华人民共和国政府采购法》等有关规定，浙江中医药大学附属第二医院（浙江省新华医院）新院区二期（新华国际医院）工程地块清理进行院内议价，欢迎国内合格的供应商前来参加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。</w:t>
      </w:r>
    </w:p>
    <w:p w14:paraId="2996D01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项目概况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4B9CD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（一）采购内容</w:t>
      </w:r>
    </w:p>
    <w:p w14:paraId="7AE9E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为满足市园文局考古所考古勘探入场条件及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拱墅区建委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历保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办树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eastAsia="zh-CN"/>
        </w:rPr>
        <w:t>木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  <w:t>迁移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要求，需对地块内过高的杂草进行压平、硬化路面进行破除、零星杂树清理垃圾外运以及地块内两颗香樟树进行迁移。</w:t>
      </w:r>
    </w:p>
    <w:p w14:paraId="02287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地块内杂草整平、硬化路面破除、杂树清理垃圾外运，地块内原圈起两块区域整平后恢复围挡，硬化路面破碎后的混凝土块可堆放其中。详见下表：工作内容表</w:t>
      </w:r>
    </w:p>
    <w:p w14:paraId="33AAD7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200" w:firstLine="2800" w:firstLineChars="10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工作内容表</w:t>
      </w:r>
    </w:p>
    <w:tbl>
      <w:tblPr>
        <w:tblStyle w:val="6"/>
        <w:tblW w:w="918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50"/>
        <w:gridCol w:w="780"/>
        <w:gridCol w:w="825"/>
        <w:gridCol w:w="5040"/>
      </w:tblGrid>
      <w:tr w14:paraId="4FB02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66D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9CE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8C0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1DE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7CE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677E1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CE9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282E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迁移香樟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C65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5286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E7D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胸径达到40cm的要做迁移方案，达到50cm的，要进行专家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包含专家费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乔木起挖、运输、栽植、养护，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养护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期一年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；</w:t>
            </w:r>
          </w:p>
        </w:tc>
      </w:tr>
      <w:tr w14:paraId="70EB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4AEE4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0579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场地整理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11A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F5B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3E58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包含以下三项</w:t>
            </w:r>
          </w:p>
        </w:tc>
      </w:tr>
      <w:tr w14:paraId="51CBB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4F1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AC1C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杂草整平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8AE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191D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0E8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整平，杂草无需外运</w:t>
            </w:r>
          </w:p>
        </w:tc>
      </w:tr>
      <w:tr w14:paraId="4CA1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E497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FC6B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硬化路面破除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A0C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6242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C6CA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硬化路面破碎后的混凝土块可堆放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至围圈区域</w:t>
            </w:r>
          </w:p>
        </w:tc>
      </w:tr>
      <w:tr w14:paraId="5520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380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9ADD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杂树清理垃圾外运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1525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12E1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47D9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需现场查看</w:t>
            </w:r>
          </w:p>
        </w:tc>
      </w:tr>
    </w:tbl>
    <w:p w14:paraId="0DBE2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（二）服务要求</w:t>
      </w:r>
    </w:p>
    <w:p w14:paraId="68C12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1、两颗香樟迁移，胸径达到40cm的要做迁移方案，达到50cm的，要进行专家认证，负责乔木起挖、运输、栽植、养护，养护期一年，迁移、养护、成活率要符合国家相关规范规定。施工时必须严格按照迁移方案及专家要求进行，自通过验收一年后的成活率必须达到100%，并达到《城市绿化工程施工及验收规范》。树冠形状按设计要求，同时绿化养护必须达到《杭州市城区绿地养护质量标准》（试行）要求。</w:t>
      </w:r>
    </w:p>
    <w:p w14:paraId="4DCF8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2、本工程按甲方要求按时、保质保量地完成，场地整理接甲方通知后3天内完成，香樟迁移接甲方通知后15日内完成迁移。</w:t>
      </w:r>
    </w:p>
    <w:p w14:paraId="5FD7B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（三）商务要求</w:t>
      </w:r>
    </w:p>
    <w:p w14:paraId="61DD3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1、服务地点：浙江中医药大学附属第二医院申花院区</w:t>
      </w:r>
    </w:p>
    <w:p w14:paraId="66AE8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2、最高限价：全部费用不得高于49500元（所报意向价格应包含工作内容表中所需的一切费用）。</w:t>
      </w:r>
    </w:p>
    <w:p w14:paraId="7C63F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3、结算方式：自采购人验收合格后30个工作日内付清。</w:t>
      </w:r>
    </w:p>
    <w:p w14:paraId="22D4C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4、现场勘查：本项目不统一组织现场踏勘，如有需要，供应商可自行踏勘现场。</w:t>
      </w:r>
    </w:p>
    <w:p w14:paraId="56E29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5、报价（详见附件院内议价响应初始报价一览表）</w:t>
      </w:r>
    </w:p>
    <w:p w14:paraId="27338D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供应商资格条件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13DD7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符合《中华人民共和国政府采购法》第二十二条的规定：</w:t>
      </w:r>
    </w:p>
    <w:p w14:paraId="1C2D2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（1）具有独立承担民事责任的能力；</w:t>
      </w:r>
    </w:p>
    <w:p w14:paraId="2243E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（2）具有良好的商业信誉和健全的财务会计制度；</w:t>
      </w:r>
    </w:p>
    <w:p w14:paraId="3A9E0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（3）具有履行合同所必需的设备和专业技术能力；</w:t>
      </w:r>
    </w:p>
    <w:p w14:paraId="137F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（4）有依法缴纳税收和社会保障资金的良好记录；</w:t>
      </w:r>
    </w:p>
    <w:p w14:paraId="31A0D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（5）参加政府采购活动前三年内，在经营活动中没有重大违法记录。</w:t>
      </w:r>
    </w:p>
    <w:p w14:paraId="0F408DD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响应文件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30999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每页需加盖单位公章，一式叁份，密封保存（投标人的联系方式请在封面空白处标注）。</w:t>
      </w:r>
    </w:p>
    <w:p w14:paraId="654E9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1、单位介绍信或法定代表人授权书；</w:t>
      </w:r>
    </w:p>
    <w:p w14:paraId="0D28B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2、营业执照复印件，相关服务资质证明；</w:t>
      </w:r>
    </w:p>
    <w:p w14:paraId="03396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3、类似服务业绩证明材料（2021年1月1日起至今）；</w:t>
      </w:r>
    </w:p>
    <w:p w14:paraId="35659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4、其他可提供的服务内容与承诺；</w:t>
      </w:r>
    </w:p>
    <w:p w14:paraId="28D86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5、文件提交截止时间：2024年12月4日14时00分（北京时间）；</w:t>
      </w:r>
    </w:p>
    <w:p w14:paraId="7EF94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6、文件提交地址：浙江中医药大学附属第二医院潮王院区7号楼102室。</w:t>
      </w:r>
    </w:p>
    <w:p w14:paraId="2717C4A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院内议价情况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43A42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1、时间：2024年12月4日，下午14:00；</w:t>
      </w:r>
    </w:p>
    <w:p w14:paraId="0B207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2、地址：浙江中医药大学附属第二医院潮王院区（潮王路318号）4号楼基建科。</w:t>
      </w:r>
    </w:p>
    <w:p w14:paraId="72A5D1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综合评分法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13FB73E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217"/>
        <w:gridCol w:w="615"/>
      </w:tblGrid>
      <w:tr w14:paraId="1F77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top"/>
          </w:tcPr>
          <w:p w14:paraId="622C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217" w:type="dxa"/>
            <w:vAlign w:val="top"/>
          </w:tcPr>
          <w:p w14:paraId="52C3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615" w:type="dxa"/>
            <w:vAlign w:val="top"/>
          </w:tcPr>
          <w:p w14:paraId="6446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4E7F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restart"/>
            <w:vAlign w:val="center"/>
          </w:tcPr>
          <w:p w14:paraId="78B1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  <w:p w14:paraId="7342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  <w:p w14:paraId="7D0D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  <w:p w14:paraId="4410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资信、技术及商务部分</w:t>
            </w:r>
          </w:p>
        </w:tc>
        <w:tc>
          <w:tcPr>
            <w:tcW w:w="6217" w:type="dxa"/>
            <w:vAlign w:val="top"/>
          </w:tcPr>
          <w:p w14:paraId="10E9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公司信誉、综合实力、市场占有率、服务能力等情况综合评分。</w:t>
            </w:r>
          </w:p>
        </w:tc>
        <w:tc>
          <w:tcPr>
            <w:tcW w:w="615" w:type="dxa"/>
            <w:vAlign w:val="center"/>
          </w:tcPr>
          <w:p w14:paraId="4CF7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114B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</w:tcPr>
          <w:p w14:paraId="5DBA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17" w:type="dxa"/>
          </w:tcPr>
          <w:p w14:paraId="25C4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近3年内具有同类项目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证明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，每个类似业绩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eastAsia="zh-CN"/>
              </w:rPr>
              <w:t>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2分，共计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分。需提供合同复印件，加盖供应商公章。</w:t>
            </w:r>
          </w:p>
        </w:tc>
        <w:tc>
          <w:tcPr>
            <w:tcW w:w="615" w:type="dxa"/>
            <w:vAlign w:val="center"/>
          </w:tcPr>
          <w:p w14:paraId="160D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6FCC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</w:tcPr>
          <w:p w14:paraId="4D04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17" w:type="dxa"/>
          </w:tcPr>
          <w:p w14:paraId="127C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提供有效的质量体系认证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相关的资质证书。</w:t>
            </w:r>
          </w:p>
        </w:tc>
        <w:tc>
          <w:tcPr>
            <w:tcW w:w="615" w:type="dxa"/>
            <w:vAlign w:val="center"/>
          </w:tcPr>
          <w:p w14:paraId="27F3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20D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</w:tcPr>
          <w:p w14:paraId="3326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17" w:type="dxa"/>
          </w:tcPr>
          <w:p w14:paraId="4EFE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按照方案的科学性、合理性、与本项目要求的契合度进行评分。</w:t>
            </w:r>
          </w:p>
        </w:tc>
        <w:tc>
          <w:tcPr>
            <w:tcW w:w="615" w:type="dxa"/>
            <w:vAlign w:val="center"/>
          </w:tcPr>
          <w:p w14:paraId="7598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249D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</w:tcPr>
          <w:p w14:paraId="019B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17" w:type="dxa"/>
          </w:tcPr>
          <w:p w14:paraId="3C49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提供售后服务方案，按照服务科学性、合理性进行评分。</w:t>
            </w:r>
          </w:p>
        </w:tc>
        <w:tc>
          <w:tcPr>
            <w:tcW w:w="615" w:type="dxa"/>
            <w:vAlign w:val="center"/>
          </w:tcPr>
          <w:p w14:paraId="49D73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2C94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top"/>
          </w:tcPr>
          <w:p w14:paraId="7D02C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价格部分</w:t>
            </w:r>
          </w:p>
        </w:tc>
        <w:tc>
          <w:tcPr>
            <w:tcW w:w="6217" w:type="dxa"/>
          </w:tcPr>
          <w:p w14:paraId="6818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615" w:type="dxa"/>
            <w:vAlign w:val="top"/>
          </w:tcPr>
          <w:p w14:paraId="3033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291A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6" w:type="dxa"/>
            <w:gridSpan w:val="2"/>
            <w:vAlign w:val="top"/>
          </w:tcPr>
          <w:p w14:paraId="0641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615" w:type="dxa"/>
            <w:vAlign w:val="top"/>
          </w:tcPr>
          <w:p w14:paraId="70A8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</w:tbl>
    <w:p w14:paraId="36A873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val="en-US" w:eastAsia="zh-CN"/>
        </w:rPr>
        <w:t>质疑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</w:rPr>
        <w:t>：</w:t>
      </w:r>
    </w:p>
    <w:p w14:paraId="558B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供应商认为采购公告、采购过程和采购结果使自己的权益受到损害的，可以在知道或者应知其权益受到损害之日起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个工作日内，以书面形式向采购人提出质疑。</w:t>
      </w:r>
    </w:p>
    <w:p w14:paraId="62B21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供应商应知其权益受到损害之日，是指：</w:t>
      </w:r>
    </w:p>
    <w:p w14:paraId="16E0D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1、对采购文件提出质疑的，为收到（或发布）采购文件之日。收到采购文件之日起至响应截止时间止不足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个工作日的，应当在响应截止时间前提出；</w:t>
      </w:r>
    </w:p>
    <w:p w14:paraId="483BC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2、对采购过程提出质疑的，为各采购程序环节结束之日；</w:t>
      </w:r>
    </w:p>
    <w:p w14:paraId="18D9F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3、对采购结果提出质疑的，为成交结果公告期限届满之日。</w:t>
      </w:r>
    </w:p>
    <w:p w14:paraId="7619A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联系方式：</w:t>
      </w:r>
    </w:p>
    <w:p w14:paraId="3AC9F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联系人：俞工；联系电话：0571-85267049</w:t>
      </w:r>
    </w:p>
    <w:p w14:paraId="11E65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浙江中医药大学附属第二医院（浙江省新华医院）新医院建设办公室</w:t>
      </w:r>
    </w:p>
    <w:p w14:paraId="61DF7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5320" w:firstLineChars="1900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  <w:lang w:val="en-US" w:eastAsia="zh-CN"/>
        </w:rPr>
        <w:t>2024年11月29日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00" w:firstLine="600"/>
      </w:pPr>
      <w:r>
        <w:separator/>
      </w:r>
    </w:p>
  </w:endnote>
  <w:endnote w:type="continuationSeparator" w:id="1">
    <w:p>
      <w:pPr>
        <w:spacing w:line="240" w:lineRule="auto"/>
        <w:ind w:left="60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02586-EBC1-4FC6-A5CC-96FB85F2EF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EF9EFD-D631-4016-96A0-C5EBB1E8C9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944A2D-5EA0-4052-AC3B-A98A6C1192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8B299E-B1A4-4C24-AE3F-70D094CBD7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600" w:firstLine="600"/>
      </w:pPr>
      <w:r>
        <w:separator/>
      </w:r>
    </w:p>
  </w:footnote>
  <w:footnote w:type="continuationSeparator" w:id="1">
    <w:p>
      <w:pPr>
        <w:spacing w:line="360" w:lineRule="auto"/>
        <w:ind w:left="600"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C9D33"/>
    <w:multiLevelType w:val="singleLevel"/>
    <w:tmpl w:val="E1FC9D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jg2YjM3ZDE3MzRiN2M0ZDcwMjllYTA2NzQyYWMifQ=="/>
  </w:docVars>
  <w:rsids>
    <w:rsidRoot w:val="00172A27"/>
    <w:rsid w:val="00321BB2"/>
    <w:rsid w:val="0048766C"/>
    <w:rsid w:val="007C26DB"/>
    <w:rsid w:val="00904731"/>
    <w:rsid w:val="00C56FD9"/>
    <w:rsid w:val="03716D43"/>
    <w:rsid w:val="080C528C"/>
    <w:rsid w:val="09721F8E"/>
    <w:rsid w:val="0C0D260E"/>
    <w:rsid w:val="0DB53CD0"/>
    <w:rsid w:val="11423ACC"/>
    <w:rsid w:val="15BD7ABA"/>
    <w:rsid w:val="1B5744E8"/>
    <w:rsid w:val="217E6AF6"/>
    <w:rsid w:val="22AB76A1"/>
    <w:rsid w:val="2484315D"/>
    <w:rsid w:val="29162311"/>
    <w:rsid w:val="2A3A6C76"/>
    <w:rsid w:val="2F3E7229"/>
    <w:rsid w:val="32E97DF4"/>
    <w:rsid w:val="360B03CA"/>
    <w:rsid w:val="3D640F37"/>
    <w:rsid w:val="404B3E9C"/>
    <w:rsid w:val="42770F78"/>
    <w:rsid w:val="4FFA447F"/>
    <w:rsid w:val="50A506B4"/>
    <w:rsid w:val="55553185"/>
    <w:rsid w:val="55E42029"/>
    <w:rsid w:val="5942011C"/>
    <w:rsid w:val="595F72AE"/>
    <w:rsid w:val="59FC3095"/>
    <w:rsid w:val="5E20029D"/>
    <w:rsid w:val="63F61F51"/>
    <w:rsid w:val="66B03D77"/>
    <w:rsid w:val="67A32996"/>
    <w:rsid w:val="688E4077"/>
    <w:rsid w:val="69F148BD"/>
    <w:rsid w:val="6C0C1E82"/>
    <w:rsid w:val="6D7E6B1E"/>
    <w:rsid w:val="6FCC40A0"/>
    <w:rsid w:val="74A15657"/>
    <w:rsid w:val="77D454BB"/>
    <w:rsid w:val="7C3E1F66"/>
    <w:rsid w:val="7F4D5D2C"/>
    <w:rsid w:val="7F5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200" w:leftChars="200" w:firstLine="200" w:firstLineChars="200"/>
    </w:pPr>
    <w:rPr>
      <w:rFonts w:eastAsia="仿宋_GB2312" w:asciiTheme="minorHAnsi" w:hAnsiTheme="minorHAnsi" w:cstheme="minorBidi"/>
      <w:kern w:val="2"/>
      <w:sz w:val="30"/>
      <w:szCs w:val="21"/>
      <w:lang w:val="en-US" w:eastAsia="zh-CN" w:bidi="ar-SA"/>
    </w:rPr>
  </w:style>
  <w:style w:type="paragraph" w:styleId="2">
    <w:name w:val="heading 1"/>
    <w:basedOn w:val="3"/>
    <w:next w:val="1"/>
    <w:link w:val="11"/>
    <w:autoRedefine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600" w:lineRule="exact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autoRedefine/>
    <w:qFormat/>
    <w:uiPriority w:val="1"/>
    <w:pPr>
      <w:widowControl w:val="0"/>
      <w:ind w:left="200" w:left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TML Sample"/>
    <w:basedOn w:val="8"/>
    <w:autoRedefine/>
    <w:semiHidden/>
    <w:unhideWhenUsed/>
    <w:qFormat/>
    <w:uiPriority w:val="99"/>
    <w:rPr>
      <w:rFonts w:ascii="宋体" w:hAnsi="宋体" w:eastAsia="宋体" w:cs="宋体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2">
    <w:name w:val="标题 2 字符"/>
    <w:basedOn w:val="8"/>
    <w:link w:val="4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3">
    <w:name w:val="p2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3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4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1781</Words>
  <Characters>1870</Characters>
  <Lines>16</Lines>
  <Paragraphs>4</Paragraphs>
  <TotalTime>19</TotalTime>
  <ScaleCrop>false</ScaleCrop>
  <LinksUpToDate>false</LinksUpToDate>
  <CharactersWithSpaces>1873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2023-09-04T14:30:00Z</dcterms:created>
  <dc:creator>gao muyun</dc:creator>
  <cp:lastModifiedBy>呆呆</cp:lastModifiedBy>
  <dcterms:modified xsi:type="dcterms:W3CDTF">2024-11-29T08:43:32Z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BA1A86A1C4F049159B6F9757FFE34E89_13</vt:lpwstr>
  </property>
</Properties>
</file>