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Times New Roman" w:hAnsi="Times New Roman" w:eastAsia="仿宋"/>
          <w:b/>
          <w:bCs w:val="0"/>
          <w:color w:val="auto"/>
          <w:sz w:val="28"/>
          <w:szCs w:val="28"/>
        </w:rPr>
      </w:pPr>
      <w:bookmarkStart w:id="0" w:name="_Toc82614741"/>
      <w:bookmarkStart w:id="1" w:name="_Toc80110442"/>
      <w:bookmarkStart w:id="2" w:name="_Toc81589999"/>
      <w:r>
        <w:rPr>
          <w:rFonts w:hint="eastAsia" w:ascii="Times New Roman" w:hAnsi="Times New Roman" w:eastAsia="仿宋"/>
          <w:b/>
          <w:bCs w:val="0"/>
          <w:color w:val="auto"/>
          <w:sz w:val="28"/>
          <w:szCs w:val="28"/>
        </w:rPr>
        <w:t>违背/偏离</w:t>
      </w:r>
      <w:bookmarkStart w:id="3" w:name="_GoBack"/>
      <w:bookmarkEnd w:id="3"/>
      <w:r>
        <w:rPr>
          <w:rFonts w:hint="eastAsia" w:ascii="Times New Roman" w:hAnsi="Times New Roman" w:eastAsia="仿宋"/>
          <w:b/>
          <w:bCs w:val="0"/>
          <w:color w:val="auto"/>
          <w:sz w:val="28"/>
          <w:szCs w:val="28"/>
        </w:rPr>
        <w:t>方案报告</w:t>
      </w:r>
      <w:bookmarkEnd w:id="0"/>
      <w:bookmarkEnd w:id="1"/>
      <w:bookmarkEnd w:id="2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89"/>
        <w:gridCol w:w="2132"/>
        <w:gridCol w:w="279"/>
        <w:gridCol w:w="2271"/>
        <w:gridCol w:w="13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21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临床研究类别</w:t>
            </w:r>
          </w:p>
        </w:tc>
        <w:tc>
          <w:tcPr>
            <w:tcW w:w="73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□药物注册临床试验                  □医疗器械注册临床试验   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3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承担科室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3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递交材料</w:t>
            </w:r>
          </w:p>
        </w:tc>
        <w:tc>
          <w:tcPr>
            <w:tcW w:w="73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2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一、研究阶段：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尚未入组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已入组，正在实施研究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完成入组，受试者研究干预尚未完成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受试者的研究干预已经完成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受试者的随访已经完成  □后期数据处理阶段</w:t>
            </w:r>
          </w:p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二、违背方案一览表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（可另附页，至少应包括受试者编号、发生日期、发现日期、违背/偏离方案类型、事件描述、事件发生的原因、对受试者的影响、对研究结果的影响和处理措施。）</w:t>
            </w:r>
          </w:p>
          <w:p>
            <w:pPr>
              <w:spacing w:line="312" w:lineRule="auto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主要研究者签名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312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2" w:type="dxa"/>
            <w:gridSpan w:val="7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312" w:lineRule="auto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312" w:lineRule="auto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312" w:lineRule="auto"/>
        <w:rPr>
          <w:rFonts w:hint="eastAsia" w:ascii="Times New Roman" w:hAnsi="Times New Roman" w:eastAsia="仿宋"/>
          <w:color w:val="auto"/>
          <w:sz w:val="24"/>
          <w:szCs w:val="24"/>
        </w:rPr>
      </w:pPr>
    </w:p>
    <w:p>
      <w:pPr>
        <w:rPr>
          <w:rFonts w:hint="eastAsia" w:ascii="Times New Roman" w:hAnsi="Times New Roman" w:eastAsia="仿宋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/>
          <w:b/>
          <w:color w:val="auto"/>
          <w:sz w:val="24"/>
          <w:szCs w:val="24"/>
        </w:rPr>
        <w:t>注：方案违背类型：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1.重大方案违背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1.1纳入不符合纳入标准的受试者；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1.2研究过程中，符合提前中止研究标准而没有让受试者退出；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1.3给予受试者错误的治疗或不正确的剂量；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1.4给予受试者方案禁用的合并用药；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1.5任何偏离研究特定的程序或评估，从而对受试者的权益、安全和健康，或对研究结果产生显著影响的研究行为；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2.持续违背方案（不属于上述重大违背方案，但反复多次的违背方案）；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3.研究者不配合监察/稽查；</w:t>
      </w:r>
    </w:p>
    <w:p>
      <w:pPr>
        <w:spacing w:line="276" w:lineRule="auto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4.对违规事件不予以纠正；</w:t>
      </w:r>
    </w:p>
    <w:p>
      <w:pPr>
        <w:spacing w:line="276" w:lineRule="auto"/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5.其它违背方案</w:t>
      </w:r>
    </w:p>
    <w:p/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040548D3"/>
    <w:rsid w:val="068F3712"/>
    <w:rsid w:val="17F30151"/>
    <w:rsid w:val="20116038"/>
    <w:rsid w:val="24D46493"/>
    <w:rsid w:val="34E36401"/>
    <w:rsid w:val="3CFE154B"/>
    <w:rsid w:val="3E16775C"/>
    <w:rsid w:val="430204EE"/>
    <w:rsid w:val="44215D4D"/>
    <w:rsid w:val="4BE34E89"/>
    <w:rsid w:val="4E2F7E49"/>
    <w:rsid w:val="51365736"/>
    <w:rsid w:val="554F6C78"/>
    <w:rsid w:val="7F5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styleId="8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2F39392F0A914AB8A01A58448B04A711</vt:lpwstr>
  </property>
</Properties>
</file>