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rPr>
      </w:pPr>
    </w:p>
    <w:p>
      <w:pPr>
        <w:spacing w:before="120" w:beforeLines="50" w:line="360" w:lineRule="auto"/>
        <w:jc w:val="center"/>
        <w:rPr>
          <w:rFonts w:ascii="宋体" w:hAnsi="宋体"/>
          <w:b/>
          <w:sz w:val="36"/>
          <w:szCs w:val="36"/>
          <w:u w:val="single"/>
        </w:rPr>
      </w:pPr>
      <w:r>
        <w:rPr>
          <w:rFonts w:hint="eastAsia" w:ascii="宋体" w:hAnsi="宋体"/>
          <w:b/>
          <w:sz w:val="36"/>
          <w:szCs w:val="36"/>
          <w:u w:val="single"/>
        </w:rPr>
        <w:t>浙江中医药大学附属第二医院</w:t>
      </w:r>
    </w:p>
    <w:p>
      <w:pPr>
        <w:spacing w:before="120" w:beforeLines="50" w:line="360" w:lineRule="auto"/>
        <w:jc w:val="center"/>
        <w:rPr>
          <w:rFonts w:ascii="宋体" w:hAnsi="宋体"/>
          <w:b/>
          <w:sz w:val="36"/>
          <w:szCs w:val="36"/>
        </w:rPr>
      </w:pPr>
      <w:r>
        <w:rPr>
          <w:rFonts w:hint="eastAsia" w:ascii="宋体" w:hAnsi="宋体"/>
          <w:b/>
          <w:sz w:val="36"/>
          <w:szCs w:val="36"/>
          <w:u w:val="single"/>
        </w:rPr>
        <w:t>污水处理站沉淀池清淤服务</w:t>
      </w:r>
      <w:r>
        <w:rPr>
          <w:rFonts w:hint="eastAsia" w:ascii="宋体" w:hAnsi="宋体"/>
          <w:b/>
          <w:sz w:val="36"/>
          <w:szCs w:val="36"/>
        </w:rPr>
        <w:t>项目</w:t>
      </w:r>
    </w:p>
    <w:p>
      <w:pPr>
        <w:spacing w:before="120" w:beforeLines="50" w:line="360" w:lineRule="auto"/>
        <w:rPr>
          <w:rFonts w:ascii="宋体" w:hAnsi="宋体"/>
          <w:b/>
          <w:sz w:val="48"/>
          <w:szCs w:val="48"/>
        </w:rPr>
      </w:pPr>
    </w:p>
    <w:p>
      <w:pPr>
        <w:spacing w:before="120" w:beforeLines="50" w:line="360" w:lineRule="auto"/>
        <w:rPr>
          <w:rFonts w:ascii="宋体" w:hAnsi="宋体"/>
          <w:b/>
          <w:sz w:val="48"/>
          <w:szCs w:val="48"/>
        </w:rPr>
      </w:pPr>
    </w:p>
    <w:p>
      <w:pPr>
        <w:spacing w:before="120" w:beforeLines="50" w:line="360" w:lineRule="auto"/>
        <w:jc w:val="center"/>
        <w:rPr>
          <w:rFonts w:ascii="宋体" w:hAnsi="宋体"/>
          <w:sz w:val="72"/>
          <w:szCs w:val="72"/>
        </w:rPr>
      </w:pPr>
      <w:r>
        <w:rPr>
          <w:rFonts w:hint="eastAsia" w:ascii="宋体" w:hAnsi="宋体"/>
          <w:sz w:val="72"/>
          <w:szCs w:val="72"/>
        </w:rPr>
        <w:t>竞争性磋商采购文件</w:t>
      </w:r>
    </w:p>
    <w:p>
      <w:pPr>
        <w:pStyle w:val="20"/>
        <w:snapToGrid w:val="0"/>
        <w:spacing w:before="120" w:after="120" w:line="360" w:lineRule="auto"/>
        <w:ind w:firstLine="940" w:firstLineChars="446"/>
        <w:rPr>
          <w:rFonts w:hAnsi="宋体"/>
          <w:b/>
          <w:bCs/>
          <w:sz w:val="21"/>
          <w:szCs w:val="21"/>
        </w:rPr>
      </w:pPr>
    </w:p>
    <w:p>
      <w:pPr>
        <w:pStyle w:val="20"/>
        <w:snapToGrid w:val="0"/>
        <w:spacing w:before="120" w:after="120" w:line="360" w:lineRule="auto"/>
        <w:ind w:firstLine="1343" w:firstLineChars="446"/>
        <w:rPr>
          <w:rFonts w:hAnsi="宋体"/>
          <w:b/>
          <w:bCs/>
          <w:sz w:val="30"/>
          <w:szCs w:val="30"/>
        </w:rPr>
      </w:pPr>
    </w:p>
    <w:p>
      <w:pPr>
        <w:pStyle w:val="20"/>
        <w:snapToGrid w:val="0"/>
        <w:spacing w:before="120" w:after="120" w:line="360" w:lineRule="auto"/>
        <w:ind w:firstLine="1343" w:firstLineChars="446"/>
        <w:rPr>
          <w:rFonts w:hAnsi="宋体"/>
          <w:b/>
          <w:bCs/>
          <w:sz w:val="30"/>
          <w:szCs w:val="30"/>
        </w:rPr>
      </w:pPr>
    </w:p>
    <w:p>
      <w:pPr>
        <w:pStyle w:val="20"/>
        <w:snapToGrid w:val="0"/>
        <w:spacing w:before="120" w:after="120" w:line="360" w:lineRule="auto"/>
        <w:ind w:firstLine="1433" w:firstLineChars="446"/>
        <w:rPr>
          <w:rFonts w:hAnsi="宋体"/>
          <w:b/>
          <w:bCs/>
          <w:sz w:val="32"/>
          <w:szCs w:val="32"/>
        </w:rPr>
      </w:pPr>
      <w:r>
        <w:rPr>
          <w:rFonts w:hAnsi="宋体"/>
          <w:b/>
          <w:bCs/>
          <w:sz w:val="32"/>
          <w:szCs w:val="32"/>
        </w:rPr>
        <w:t>项目编号：</w:t>
      </w:r>
      <w:r>
        <w:rPr>
          <w:rFonts w:hint="eastAsia" w:hAnsi="宋体"/>
          <w:b/>
          <w:bCs/>
          <w:sz w:val="32"/>
          <w:szCs w:val="32"/>
        </w:rPr>
        <w:t>ZC-2022-014</w:t>
      </w:r>
    </w:p>
    <w:p>
      <w:pPr>
        <w:snapToGrid w:val="0"/>
        <w:spacing w:before="120" w:beforeLines="50" w:line="360" w:lineRule="auto"/>
        <w:ind w:firstLine="1433" w:firstLineChars="446"/>
        <w:rPr>
          <w:rFonts w:ascii="宋体" w:hAnsi="宋体"/>
          <w:b/>
          <w:bCs/>
          <w:sz w:val="32"/>
          <w:szCs w:val="32"/>
        </w:rPr>
      </w:pPr>
      <w:r>
        <w:rPr>
          <w:rFonts w:hint="eastAsia" w:ascii="宋体" w:hAnsi="宋体"/>
          <w:b/>
          <w:bCs/>
          <w:sz w:val="32"/>
          <w:szCs w:val="32"/>
        </w:rPr>
        <w:t>项目名称：污水处理站沉淀池清淤服务</w:t>
      </w:r>
    </w:p>
    <w:p>
      <w:pPr>
        <w:snapToGrid w:val="0"/>
        <w:spacing w:before="120" w:beforeLines="50" w:line="360" w:lineRule="auto"/>
        <w:ind w:firstLine="1433" w:firstLineChars="446"/>
        <w:rPr>
          <w:rFonts w:ascii="宋体" w:hAnsi="宋体"/>
          <w:b/>
          <w:bCs/>
          <w:sz w:val="32"/>
          <w:szCs w:val="32"/>
        </w:rPr>
      </w:pPr>
      <w:r>
        <w:rPr>
          <w:rFonts w:ascii="宋体" w:hAnsi="宋体"/>
          <w:b/>
          <w:bCs/>
          <w:sz w:val="32"/>
          <w:szCs w:val="32"/>
        </w:rPr>
        <w:t>采购单位：</w:t>
      </w:r>
      <w:r>
        <w:rPr>
          <w:rFonts w:hint="eastAsia" w:ascii="宋体" w:hAnsi="宋体"/>
          <w:b/>
          <w:bCs/>
          <w:sz w:val="32"/>
          <w:szCs w:val="32"/>
        </w:rPr>
        <w:t>浙江中医药大学附属第二医院</w:t>
      </w:r>
    </w:p>
    <w:p>
      <w:pPr>
        <w:pStyle w:val="20"/>
        <w:snapToGrid w:val="0"/>
        <w:spacing w:before="120" w:after="120" w:line="360" w:lineRule="auto"/>
        <w:rPr>
          <w:rFonts w:hAnsi="宋体"/>
          <w:b/>
          <w:bCs/>
          <w:w w:val="95"/>
          <w:sz w:val="32"/>
          <w:szCs w:val="32"/>
        </w:rPr>
      </w:pPr>
      <w:r>
        <w:rPr>
          <w:rFonts w:hint="eastAsia" w:hAnsi="宋体"/>
          <w:b/>
          <w:bCs/>
          <w:w w:val="95"/>
          <w:sz w:val="32"/>
          <w:szCs w:val="32"/>
        </w:rPr>
        <w:t xml:space="preserve"> </w:t>
      </w: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rPr>
        <w:sectPr>
          <w:footerReference r:id="rId3" w:type="default"/>
          <w:footerReference r:id="rId4" w:type="even"/>
          <w:pgSz w:w="11906" w:h="16838"/>
          <w:pgMar w:top="1460" w:right="1800" w:bottom="1460" w:left="1800" w:header="851" w:footer="851" w:gutter="0"/>
          <w:cols w:space="720" w:num="1"/>
          <w:docGrid w:linePitch="312" w:charSpace="0"/>
        </w:sect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rPr>
        <w:t>6</w:t>
      </w:r>
      <w:r>
        <w:rPr>
          <w:rFonts w:ascii="宋体" w:hAnsi="宋体"/>
          <w:b/>
          <w:bCs/>
          <w:w w:val="95"/>
          <w:sz w:val="32"/>
          <w:szCs w:val="32"/>
        </w:rPr>
        <w:t>月</w:t>
      </w:r>
    </w:p>
    <w:p>
      <w:pPr>
        <w:pStyle w:val="20"/>
        <w:spacing w:before="120" w:after="120" w:line="360" w:lineRule="auto"/>
        <w:jc w:val="center"/>
        <w:rPr>
          <w:rFonts w:hAnsi="宋体"/>
          <w:b/>
          <w:sz w:val="44"/>
          <w:szCs w:val="44"/>
        </w:rPr>
      </w:pPr>
    </w:p>
    <w:p>
      <w:pPr>
        <w:pStyle w:val="20"/>
        <w:spacing w:before="120" w:after="120" w:line="360" w:lineRule="auto"/>
        <w:jc w:val="center"/>
        <w:rPr>
          <w:rFonts w:hAnsi="宋体"/>
          <w:b/>
          <w:sz w:val="44"/>
          <w:szCs w:val="44"/>
        </w:rPr>
      </w:pPr>
      <w:r>
        <w:rPr>
          <w:rFonts w:hint="eastAsia" w:hAnsi="宋体"/>
          <w:b/>
          <w:sz w:val="44"/>
          <w:szCs w:val="44"/>
        </w:rPr>
        <w:t>目    录</w:t>
      </w:r>
    </w:p>
    <w:p>
      <w:pPr>
        <w:pStyle w:val="20"/>
        <w:spacing w:before="120" w:after="120" w:line="360" w:lineRule="auto"/>
        <w:jc w:val="center"/>
        <w:rPr>
          <w:rFonts w:hAnsi="宋体"/>
          <w:b/>
          <w:sz w:val="44"/>
          <w:szCs w:val="44"/>
        </w:rPr>
      </w:pPr>
    </w:p>
    <w:p>
      <w:pPr>
        <w:pStyle w:val="26"/>
        <w:tabs>
          <w:tab w:val="right" w:leader="dot" w:pos="8296"/>
        </w:tabs>
        <w:spacing w:line="360" w:lineRule="auto"/>
        <w:rPr>
          <w:rFonts w:ascii="宋体" w:hAnsi="宋体"/>
          <w:b/>
          <w:bCs/>
          <w:sz w:val="30"/>
          <w:szCs w:val="30"/>
        </w:rPr>
      </w:pPr>
      <w:r>
        <w:rPr>
          <w:rFonts w:ascii="宋体" w:hAnsi="宋体"/>
          <w:b/>
          <w:bCs/>
          <w:sz w:val="30"/>
          <w:szCs w:val="30"/>
        </w:rPr>
        <w:fldChar w:fldCharType="begin"/>
      </w:r>
      <w:r>
        <w:rPr>
          <w:rFonts w:ascii="宋体" w:hAnsi="宋体"/>
          <w:b/>
          <w:bCs/>
          <w:sz w:val="30"/>
          <w:szCs w:val="30"/>
        </w:rPr>
        <w:instrText xml:space="preserve"> TOC \o "1-2" \h \z \u </w:instrText>
      </w:r>
      <w:r>
        <w:rPr>
          <w:rFonts w:ascii="宋体" w:hAnsi="宋体"/>
          <w:b/>
          <w:bCs/>
          <w:sz w:val="30"/>
          <w:szCs w:val="30"/>
        </w:rPr>
        <w:fldChar w:fldCharType="separate"/>
      </w:r>
      <w:r>
        <w:fldChar w:fldCharType="begin"/>
      </w:r>
      <w:r>
        <w:instrText xml:space="preserve"> HYPERLINK \l "_Toc482204277" </w:instrText>
      </w:r>
      <w:r>
        <w:fldChar w:fldCharType="separate"/>
      </w:r>
      <w:r>
        <w:rPr>
          <w:rStyle w:val="43"/>
          <w:rFonts w:hint="eastAsia" w:ascii="宋体" w:hAnsi="宋体"/>
          <w:b/>
          <w:bCs/>
          <w:color w:val="auto"/>
          <w:sz w:val="30"/>
          <w:szCs w:val="30"/>
          <w:u w:val="none"/>
        </w:rPr>
        <w:t>第一章 采购邀请</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_Toc482204277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pPr>
        <w:pStyle w:val="26"/>
        <w:tabs>
          <w:tab w:val="right" w:leader="dot" w:pos="8296"/>
        </w:tabs>
        <w:spacing w:line="360" w:lineRule="auto"/>
        <w:rPr>
          <w:rFonts w:ascii="宋体" w:hAnsi="宋体"/>
          <w:b/>
          <w:bCs/>
          <w:sz w:val="30"/>
          <w:szCs w:val="30"/>
        </w:rPr>
      </w:pPr>
      <w:r>
        <w:fldChar w:fldCharType="begin"/>
      </w:r>
      <w:r>
        <w:instrText xml:space="preserve"> HYPERLINK \l "_Toc482204278" </w:instrText>
      </w:r>
      <w:r>
        <w:fldChar w:fldCharType="separate"/>
      </w:r>
      <w:r>
        <w:rPr>
          <w:rStyle w:val="43"/>
          <w:rFonts w:hint="eastAsia" w:ascii="宋体" w:hAnsi="宋体"/>
          <w:b/>
          <w:bCs/>
          <w:color w:val="auto"/>
          <w:sz w:val="30"/>
          <w:szCs w:val="30"/>
          <w:u w:val="none"/>
        </w:rPr>
        <w:t>第二章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供应商须知</w:t>
      </w:r>
      <w:r>
        <w:rPr>
          <w:rFonts w:ascii="宋体" w:hAnsi="宋体"/>
          <w:b/>
          <w:bCs/>
          <w:sz w:val="30"/>
          <w:szCs w:val="30"/>
        </w:rPr>
        <w:tab/>
      </w:r>
      <w:r>
        <w:rPr>
          <w:rFonts w:hint="eastAsia" w:ascii="宋体" w:hAnsi="宋体"/>
          <w:b/>
          <w:bCs/>
          <w:sz w:val="30"/>
          <w:szCs w:val="30"/>
        </w:rPr>
        <w:t>4</w:t>
      </w:r>
      <w:r>
        <w:rPr>
          <w:rFonts w:hint="eastAsia" w:ascii="宋体" w:hAnsi="宋体"/>
          <w:b/>
          <w:bCs/>
          <w:sz w:val="30"/>
          <w:szCs w:val="30"/>
        </w:rPr>
        <w:fldChar w:fldCharType="end"/>
      </w:r>
    </w:p>
    <w:p>
      <w:pPr>
        <w:pStyle w:val="26"/>
        <w:tabs>
          <w:tab w:val="right" w:leader="dot" w:pos="8296"/>
        </w:tabs>
        <w:spacing w:line="360" w:lineRule="auto"/>
        <w:rPr>
          <w:rFonts w:ascii="宋体" w:hAnsi="宋体"/>
          <w:b/>
          <w:bCs/>
          <w:sz w:val="30"/>
          <w:szCs w:val="30"/>
        </w:rPr>
      </w:pPr>
      <w:r>
        <w:fldChar w:fldCharType="begin"/>
      </w:r>
      <w:r>
        <w:instrText xml:space="preserve"> HYPERLINK \l "_Toc482204279" </w:instrText>
      </w:r>
      <w:r>
        <w:fldChar w:fldCharType="separate"/>
      </w:r>
      <w:r>
        <w:rPr>
          <w:rStyle w:val="43"/>
          <w:rFonts w:hint="eastAsia" w:ascii="宋体" w:hAnsi="宋体"/>
          <w:b/>
          <w:bCs/>
          <w:color w:val="auto"/>
          <w:sz w:val="30"/>
          <w:szCs w:val="30"/>
          <w:u w:val="none"/>
        </w:rPr>
        <w:t>第三章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评审</w:t>
      </w:r>
      <w:bookmarkStart w:id="0" w:name="_Hlt21729534"/>
      <w:bookmarkStart w:id="1" w:name="_Hlt21729535"/>
      <w:r>
        <w:rPr>
          <w:rStyle w:val="43"/>
          <w:rFonts w:hint="eastAsia" w:ascii="宋体" w:hAnsi="宋体"/>
          <w:b/>
          <w:bCs/>
          <w:color w:val="auto"/>
          <w:sz w:val="30"/>
          <w:szCs w:val="30"/>
          <w:u w:val="none"/>
        </w:rPr>
        <w:t>办</w:t>
      </w:r>
      <w:bookmarkEnd w:id="0"/>
      <w:bookmarkEnd w:id="1"/>
      <w:bookmarkStart w:id="2" w:name="_Hlt3358959"/>
      <w:bookmarkStart w:id="3" w:name="_Hlt534748611"/>
      <w:bookmarkStart w:id="4" w:name="_Hlt534748610"/>
      <w:r>
        <w:rPr>
          <w:rStyle w:val="43"/>
          <w:rFonts w:hint="eastAsia" w:ascii="宋体" w:hAnsi="宋体"/>
          <w:b/>
          <w:bCs/>
          <w:color w:val="auto"/>
          <w:sz w:val="30"/>
          <w:szCs w:val="30"/>
          <w:u w:val="none"/>
        </w:rPr>
        <w:t>法</w:t>
      </w:r>
      <w:bookmarkEnd w:id="2"/>
      <w:bookmarkEnd w:id="3"/>
      <w:bookmarkEnd w:id="4"/>
      <w:r>
        <w:rPr>
          <w:rFonts w:ascii="宋体" w:hAnsi="宋体"/>
          <w:b/>
          <w:bCs/>
          <w:sz w:val="30"/>
          <w:szCs w:val="30"/>
        </w:rPr>
        <w:tab/>
      </w:r>
      <w:r>
        <w:rPr>
          <w:rFonts w:ascii="宋体" w:hAnsi="宋体"/>
          <w:b/>
          <w:bCs/>
          <w:sz w:val="30"/>
          <w:szCs w:val="30"/>
        </w:rPr>
        <w:fldChar w:fldCharType="end"/>
      </w:r>
      <w:r>
        <w:rPr>
          <w:rFonts w:hint="eastAsia" w:ascii="宋体" w:hAnsi="宋体"/>
          <w:b/>
          <w:bCs/>
          <w:sz w:val="30"/>
          <w:szCs w:val="30"/>
        </w:rPr>
        <w:t>11</w:t>
      </w:r>
    </w:p>
    <w:p>
      <w:pPr>
        <w:pStyle w:val="26"/>
        <w:tabs>
          <w:tab w:val="right" w:leader="dot" w:pos="8296"/>
        </w:tabs>
        <w:spacing w:line="360" w:lineRule="auto"/>
        <w:rPr>
          <w:rFonts w:ascii="宋体" w:hAnsi="宋体"/>
          <w:b/>
          <w:bCs/>
          <w:sz w:val="30"/>
          <w:szCs w:val="30"/>
        </w:rPr>
      </w:pPr>
      <w:r>
        <w:rPr>
          <w:rFonts w:hint="eastAsia"/>
        </w:rPr>
        <w:fldChar w:fldCharType="begin"/>
      </w:r>
      <w:r>
        <w:instrText xml:space="preserve"> HYPERLINK \l "_Toc482204280" </w:instrText>
      </w:r>
      <w:r>
        <w:rPr>
          <w:rFonts w:hint="eastAsia"/>
        </w:rPr>
        <w:fldChar w:fldCharType="separate"/>
      </w:r>
      <w:r>
        <w:rPr>
          <w:rStyle w:val="43"/>
          <w:rFonts w:hint="eastAsia" w:ascii="宋体" w:hAnsi="宋体"/>
          <w:b/>
          <w:bCs/>
          <w:color w:val="auto"/>
          <w:sz w:val="30"/>
          <w:szCs w:val="30"/>
          <w:u w:val="none"/>
        </w:rPr>
        <w:t>第四章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采</w:t>
      </w:r>
      <w:bookmarkStart w:id="5" w:name="_Hlt3358671"/>
      <w:bookmarkStart w:id="6" w:name="_Hlt3358670"/>
      <w:r>
        <w:rPr>
          <w:rStyle w:val="43"/>
          <w:rFonts w:hint="eastAsia" w:ascii="宋体" w:hAnsi="宋体"/>
          <w:b/>
          <w:bCs/>
          <w:color w:val="auto"/>
          <w:sz w:val="30"/>
          <w:szCs w:val="30"/>
          <w:u w:val="none"/>
        </w:rPr>
        <w:t>购</w:t>
      </w:r>
      <w:bookmarkEnd w:id="5"/>
      <w:bookmarkEnd w:id="6"/>
      <w:bookmarkStart w:id="7" w:name="_Hlt534570834"/>
      <w:bookmarkStart w:id="8" w:name="_Hlt12535306"/>
      <w:bookmarkStart w:id="9" w:name="_Hlt534570835"/>
      <w:bookmarkStart w:id="10" w:name="_Hlt12267471"/>
      <w:bookmarkStart w:id="11" w:name="_Hlt12267472"/>
      <w:bookmarkStart w:id="12" w:name="_Hlt12535307"/>
      <w:r>
        <w:rPr>
          <w:rStyle w:val="43"/>
          <w:rFonts w:hint="eastAsia" w:ascii="宋体" w:hAnsi="宋体"/>
          <w:b/>
          <w:bCs/>
          <w:color w:val="auto"/>
          <w:sz w:val="30"/>
          <w:szCs w:val="30"/>
          <w:u w:val="none"/>
        </w:rPr>
        <w:t>内</w:t>
      </w:r>
      <w:bookmarkEnd w:id="7"/>
      <w:bookmarkEnd w:id="8"/>
      <w:bookmarkEnd w:id="9"/>
      <w:bookmarkEnd w:id="10"/>
      <w:bookmarkEnd w:id="11"/>
      <w:bookmarkEnd w:id="12"/>
      <w:bookmarkStart w:id="13" w:name="_Hlt16493945"/>
      <w:bookmarkStart w:id="14" w:name="_Hlt4663267"/>
      <w:bookmarkStart w:id="15" w:name="_Hlt534749621"/>
      <w:bookmarkStart w:id="16" w:name="_Hlt16493944"/>
      <w:bookmarkStart w:id="17" w:name="_Hlt4663266"/>
      <w:bookmarkStart w:id="18" w:name="_Hlt534749622"/>
      <w:r>
        <w:rPr>
          <w:rStyle w:val="43"/>
          <w:rFonts w:hint="eastAsia" w:ascii="宋体" w:hAnsi="宋体"/>
          <w:b/>
          <w:bCs/>
          <w:color w:val="auto"/>
          <w:sz w:val="30"/>
          <w:szCs w:val="30"/>
          <w:u w:val="none"/>
        </w:rPr>
        <w:t>容</w:t>
      </w:r>
      <w:bookmarkEnd w:id="13"/>
      <w:bookmarkEnd w:id="14"/>
      <w:bookmarkEnd w:id="15"/>
      <w:bookmarkEnd w:id="16"/>
      <w:bookmarkEnd w:id="17"/>
      <w:bookmarkEnd w:id="18"/>
      <w:bookmarkStart w:id="19" w:name="_Hlt534751542"/>
      <w:bookmarkStart w:id="20" w:name="_Hlt12267491"/>
      <w:bookmarkStart w:id="21" w:name="_Hlt534751543"/>
      <w:bookmarkStart w:id="22" w:name="_Hlt534749676"/>
      <w:bookmarkStart w:id="23" w:name="_Hlt534572596"/>
      <w:r>
        <w:rPr>
          <w:rStyle w:val="43"/>
          <w:rFonts w:hint="eastAsia" w:ascii="宋体" w:hAnsi="宋体"/>
          <w:b/>
          <w:bCs/>
          <w:color w:val="auto"/>
          <w:sz w:val="30"/>
          <w:szCs w:val="30"/>
          <w:u w:val="none"/>
        </w:rPr>
        <w:t>及</w:t>
      </w:r>
      <w:bookmarkEnd w:id="19"/>
      <w:bookmarkEnd w:id="20"/>
      <w:bookmarkEnd w:id="21"/>
      <w:bookmarkEnd w:id="22"/>
      <w:bookmarkEnd w:id="23"/>
      <w:bookmarkStart w:id="24" w:name="_Hlt3358696"/>
      <w:bookmarkStart w:id="25" w:name="_Hlt12256643"/>
      <w:bookmarkStart w:id="26" w:name="_Hlt534572538"/>
      <w:bookmarkStart w:id="27" w:name="_Hlt534572539"/>
      <w:r>
        <w:rPr>
          <w:rStyle w:val="43"/>
          <w:rFonts w:hint="eastAsia" w:ascii="宋体" w:hAnsi="宋体"/>
          <w:b/>
          <w:bCs/>
          <w:color w:val="auto"/>
          <w:sz w:val="30"/>
          <w:szCs w:val="30"/>
          <w:u w:val="none"/>
        </w:rPr>
        <w:t>需</w:t>
      </w:r>
      <w:bookmarkEnd w:id="24"/>
      <w:bookmarkEnd w:id="25"/>
      <w:bookmarkEnd w:id="26"/>
      <w:bookmarkEnd w:id="27"/>
      <w:r>
        <w:rPr>
          <w:rStyle w:val="43"/>
          <w:rFonts w:hint="eastAsia" w:ascii="宋体" w:hAnsi="宋体"/>
          <w:b/>
          <w:bCs/>
          <w:color w:val="auto"/>
          <w:sz w:val="30"/>
          <w:szCs w:val="30"/>
          <w:u w:val="none"/>
        </w:rPr>
        <w:t>求</w:t>
      </w:r>
      <w:r>
        <w:rPr>
          <w:rFonts w:ascii="宋体" w:hAnsi="宋体"/>
          <w:b/>
          <w:bCs/>
          <w:sz w:val="30"/>
          <w:szCs w:val="30"/>
        </w:rPr>
        <w:tab/>
      </w:r>
      <w:r>
        <w:rPr>
          <w:rFonts w:hint="eastAsia" w:ascii="宋体" w:hAnsi="宋体"/>
          <w:b/>
          <w:bCs/>
          <w:sz w:val="30"/>
          <w:szCs w:val="30"/>
        </w:rPr>
        <w:fldChar w:fldCharType="end"/>
      </w:r>
      <w:r>
        <w:rPr>
          <w:rFonts w:hint="eastAsia" w:ascii="宋体" w:hAnsi="宋体"/>
          <w:b/>
          <w:bCs/>
          <w:sz w:val="30"/>
          <w:szCs w:val="30"/>
        </w:rPr>
        <w:t>14</w:t>
      </w:r>
    </w:p>
    <w:p>
      <w:pPr>
        <w:pStyle w:val="26"/>
        <w:tabs>
          <w:tab w:val="right" w:leader="dot" w:pos="8296"/>
        </w:tabs>
        <w:spacing w:line="360" w:lineRule="auto"/>
        <w:rPr>
          <w:rFonts w:ascii="宋体" w:hAnsi="宋体"/>
          <w:b/>
          <w:bCs/>
          <w:sz w:val="30"/>
          <w:szCs w:val="30"/>
        </w:rPr>
      </w:pPr>
      <w:r>
        <w:fldChar w:fldCharType="begin"/>
      </w:r>
      <w:r>
        <w:instrText xml:space="preserve"> HYPERLINK \l "_Toc482204281" </w:instrText>
      </w:r>
      <w:r>
        <w:fldChar w:fldCharType="separate"/>
      </w:r>
      <w:r>
        <w:rPr>
          <w:rStyle w:val="43"/>
          <w:rFonts w:hint="eastAsia" w:ascii="宋体" w:hAnsi="宋体"/>
          <w:b/>
          <w:bCs/>
          <w:color w:val="auto"/>
          <w:sz w:val="30"/>
          <w:szCs w:val="30"/>
          <w:u w:val="none"/>
        </w:rPr>
        <w:t>第五章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合同主</w:t>
      </w:r>
      <w:bookmarkStart w:id="28" w:name="_Hlt23882902"/>
      <w:bookmarkStart w:id="29" w:name="_Hlt23882901"/>
      <w:r>
        <w:rPr>
          <w:rStyle w:val="43"/>
          <w:rFonts w:hint="eastAsia" w:ascii="宋体" w:hAnsi="宋体"/>
          <w:b/>
          <w:bCs/>
          <w:color w:val="auto"/>
          <w:sz w:val="30"/>
          <w:szCs w:val="30"/>
          <w:u w:val="none"/>
        </w:rPr>
        <w:t>要</w:t>
      </w:r>
      <w:bookmarkEnd w:id="28"/>
      <w:bookmarkEnd w:id="29"/>
      <w:r>
        <w:rPr>
          <w:rStyle w:val="43"/>
          <w:rFonts w:hint="eastAsia" w:ascii="宋体" w:hAnsi="宋体"/>
          <w:b/>
          <w:bCs/>
          <w:color w:val="auto"/>
          <w:sz w:val="30"/>
          <w:szCs w:val="30"/>
          <w:u w:val="none"/>
        </w:rPr>
        <w:t>条款</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rPr>
        <w:t>7</w:t>
      </w:r>
    </w:p>
    <w:p>
      <w:pPr>
        <w:pStyle w:val="26"/>
        <w:tabs>
          <w:tab w:val="right" w:leader="dot" w:pos="8296"/>
        </w:tabs>
        <w:spacing w:line="360" w:lineRule="auto"/>
        <w:rPr>
          <w:rFonts w:ascii="宋体" w:hAnsi="宋体"/>
          <w:b/>
          <w:bCs/>
          <w:sz w:val="30"/>
          <w:szCs w:val="30"/>
        </w:rPr>
      </w:pPr>
      <w:r>
        <w:rPr>
          <w:rFonts w:hint="eastAsia"/>
        </w:rPr>
        <w:fldChar w:fldCharType="begin"/>
      </w:r>
      <w:r>
        <w:instrText xml:space="preserve"> HYPERLINK \l "_Toc482204282" </w:instrText>
      </w:r>
      <w:r>
        <w:rPr>
          <w:rFonts w:hint="eastAsia"/>
        </w:rPr>
        <w:fldChar w:fldCharType="separate"/>
      </w:r>
      <w:r>
        <w:rPr>
          <w:rStyle w:val="43"/>
          <w:rFonts w:hint="eastAsia" w:ascii="宋体" w:hAnsi="宋体"/>
          <w:b/>
          <w:bCs/>
          <w:color w:val="auto"/>
          <w:sz w:val="30"/>
          <w:szCs w:val="30"/>
          <w:u w:val="none"/>
        </w:rPr>
        <w:t>第六章 响应文</w:t>
      </w:r>
      <w:bookmarkStart w:id="30" w:name="_Hlt535248813"/>
      <w:bookmarkStart w:id="31" w:name="_Hlt535248812"/>
      <w:r>
        <w:rPr>
          <w:rStyle w:val="43"/>
          <w:rFonts w:hint="eastAsia" w:ascii="宋体" w:hAnsi="宋体"/>
          <w:b/>
          <w:bCs/>
          <w:color w:val="auto"/>
          <w:sz w:val="30"/>
          <w:szCs w:val="30"/>
          <w:u w:val="none"/>
        </w:rPr>
        <w:t>件</w:t>
      </w:r>
      <w:bookmarkEnd w:id="30"/>
      <w:bookmarkEnd w:id="31"/>
      <w:bookmarkStart w:id="32" w:name="_Hlt534753389"/>
      <w:bookmarkStart w:id="33" w:name="_Hlt534753388"/>
      <w:r>
        <w:rPr>
          <w:rStyle w:val="43"/>
          <w:rFonts w:hint="eastAsia" w:ascii="宋体" w:hAnsi="宋体"/>
          <w:b/>
          <w:bCs/>
          <w:color w:val="auto"/>
          <w:sz w:val="30"/>
          <w:szCs w:val="30"/>
          <w:u w:val="none"/>
        </w:rPr>
        <w:t>格</w:t>
      </w:r>
      <w:bookmarkEnd w:id="32"/>
      <w:bookmarkEnd w:id="33"/>
      <w:r>
        <w:rPr>
          <w:rStyle w:val="43"/>
          <w:rFonts w:hint="eastAsia" w:ascii="宋体" w:hAnsi="宋体"/>
          <w:b/>
          <w:bCs/>
          <w:color w:val="auto"/>
          <w:sz w:val="30"/>
          <w:szCs w:val="30"/>
          <w:u w:val="none"/>
        </w:rPr>
        <w:t>式</w:t>
      </w:r>
      <w:r>
        <w:rPr>
          <w:rFonts w:ascii="宋体" w:hAnsi="宋体"/>
          <w:b/>
          <w:bCs/>
          <w:sz w:val="30"/>
          <w:szCs w:val="30"/>
        </w:rPr>
        <w:tab/>
      </w:r>
      <w:r>
        <w:rPr>
          <w:rFonts w:hint="eastAsia" w:ascii="宋体" w:hAnsi="宋体"/>
          <w:b/>
          <w:bCs/>
          <w:sz w:val="30"/>
          <w:szCs w:val="30"/>
        </w:rPr>
        <w:fldChar w:fldCharType="end"/>
      </w:r>
      <w:r>
        <w:rPr>
          <w:rFonts w:hint="eastAsia" w:ascii="宋体" w:hAnsi="宋体"/>
          <w:b/>
          <w:bCs/>
          <w:sz w:val="30"/>
          <w:szCs w:val="30"/>
        </w:rPr>
        <w:t>21</w:t>
      </w:r>
    </w:p>
    <w:p>
      <w:pPr>
        <w:pStyle w:val="20"/>
        <w:snapToGrid w:val="0"/>
        <w:spacing w:before="120" w:after="120" w:line="360" w:lineRule="auto"/>
        <w:jc w:val="center"/>
        <w:outlineLvl w:val="0"/>
        <w:rPr>
          <w:rFonts w:hAnsi="宋体"/>
        </w:rPr>
        <w:sectPr>
          <w:headerReference r:id="rId5" w:type="default"/>
          <w:footerReference r:id="rId6" w:type="default"/>
          <w:pgSz w:w="11906" w:h="16838"/>
          <w:pgMar w:top="1460" w:right="1800" w:bottom="1460" w:left="1800" w:header="851" w:footer="851" w:gutter="0"/>
          <w:pgNumType w:start="1"/>
          <w:cols w:space="720" w:num="1"/>
          <w:docGrid w:linePitch="312" w:charSpace="0"/>
        </w:sectPr>
      </w:pPr>
      <w:r>
        <w:rPr>
          <w:rFonts w:hAnsi="宋体"/>
          <w:b/>
          <w:bCs/>
          <w:sz w:val="30"/>
          <w:szCs w:val="30"/>
        </w:rPr>
        <w:fldChar w:fldCharType="end"/>
      </w:r>
    </w:p>
    <w:p>
      <w:pPr>
        <w:pStyle w:val="20"/>
        <w:snapToGrid w:val="0"/>
        <w:spacing w:before="120" w:after="120" w:line="360" w:lineRule="auto"/>
        <w:jc w:val="center"/>
        <w:outlineLvl w:val="0"/>
        <w:rPr>
          <w:rFonts w:hAnsi="宋体"/>
          <w:b/>
          <w:sz w:val="30"/>
          <w:szCs w:val="30"/>
        </w:rPr>
      </w:pPr>
      <w:bookmarkStart w:id="34" w:name="_Toc482204277"/>
      <w:r>
        <w:rPr>
          <w:rFonts w:hint="eastAsia" w:hAnsi="宋体"/>
          <w:b/>
          <w:sz w:val="30"/>
          <w:szCs w:val="30"/>
        </w:rPr>
        <w:t>第一章  采购邀请</w:t>
      </w:r>
      <w:bookmarkEnd w:id="34"/>
    </w:p>
    <w:p>
      <w:pPr>
        <w:pStyle w:val="16"/>
        <w:spacing w:line="360" w:lineRule="auto"/>
        <w:ind w:firstLine="464" w:firstLineChars="200"/>
        <w:rPr>
          <w:rFonts w:hAnsi="宋体"/>
          <w:sz w:val="24"/>
        </w:rPr>
      </w:pPr>
      <w:r>
        <w:rPr>
          <w:rFonts w:hint="eastAsia" w:hAnsi="宋体"/>
          <w:sz w:val="24"/>
        </w:rPr>
        <w:t>根据相关法律法规等规定，浙江中医药大学附属第二医院就</w:t>
      </w:r>
      <w:r>
        <w:rPr>
          <w:rFonts w:hint="eastAsia" w:hAnsi="宋体"/>
          <w:sz w:val="24"/>
          <w:u w:val="single"/>
        </w:rPr>
        <w:t>污水处理站沉淀池清淤服务项目</w:t>
      </w:r>
      <w:r>
        <w:rPr>
          <w:rFonts w:hint="eastAsia" w:hAnsi="宋体"/>
          <w:sz w:val="24"/>
        </w:rPr>
        <w:t>进行竞争性磋商采购，欢迎国内合格的供应商前来参加。</w:t>
      </w:r>
    </w:p>
    <w:p>
      <w:pPr>
        <w:pStyle w:val="16"/>
        <w:spacing w:line="360" w:lineRule="auto"/>
        <w:ind w:firstLine="0"/>
        <w:rPr>
          <w:rFonts w:hAnsi="宋体"/>
          <w:sz w:val="24"/>
        </w:rPr>
      </w:pPr>
      <w:r>
        <w:rPr>
          <w:rFonts w:hint="eastAsia" w:hAnsi="宋体"/>
          <w:sz w:val="24"/>
        </w:rPr>
        <w:t>一</w:t>
      </w:r>
      <w:r>
        <w:rPr>
          <w:rFonts w:hAnsi="宋体"/>
          <w:sz w:val="24"/>
        </w:rPr>
        <w:t>.</w:t>
      </w:r>
      <w:r>
        <w:rPr>
          <w:rFonts w:hint="eastAsia" w:hAnsi="宋体"/>
          <w:sz w:val="24"/>
        </w:rPr>
        <w:t>项目编号：ZC-2022-014</w:t>
      </w:r>
    </w:p>
    <w:p>
      <w:pPr>
        <w:pStyle w:val="16"/>
        <w:spacing w:line="360" w:lineRule="auto"/>
        <w:ind w:firstLine="0"/>
        <w:rPr>
          <w:rFonts w:hAnsi="宋体"/>
          <w:sz w:val="24"/>
        </w:rPr>
      </w:pPr>
      <w:r>
        <w:rPr>
          <w:rFonts w:hint="eastAsia" w:hAnsi="宋体"/>
          <w:sz w:val="24"/>
        </w:rPr>
        <w:t>二</w:t>
      </w:r>
      <w:r>
        <w:rPr>
          <w:rFonts w:hAnsi="宋体"/>
          <w:sz w:val="24"/>
        </w:rPr>
        <w:t>.</w:t>
      </w:r>
      <w:r>
        <w:rPr>
          <w:rFonts w:hint="eastAsia" w:hAnsi="宋体"/>
          <w:sz w:val="24"/>
        </w:rPr>
        <w:t>采购组织类型：非政府采购</w:t>
      </w:r>
    </w:p>
    <w:p>
      <w:pPr>
        <w:pStyle w:val="16"/>
        <w:spacing w:line="360" w:lineRule="auto"/>
        <w:ind w:firstLine="0"/>
        <w:rPr>
          <w:rFonts w:hAnsi="宋体"/>
          <w:sz w:val="24"/>
        </w:rPr>
      </w:pPr>
      <w:r>
        <w:rPr>
          <w:rFonts w:hint="eastAsia" w:hAnsi="宋体"/>
          <w:sz w:val="24"/>
        </w:rPr>
        <w:t>三.参考采购方式：竞争性磋商</w:t>
      </w:r>
    </w:p>
    <w:p>
      <w:pPr>
        <w:pStyle w:val="16"/>
        <w:spacing w:line="360" w:lineRule="auto"/>
        <w:ind w:firstLine="0"/>
        <w:rPr>
          <w:rFonts w:hAnsi="宋体"/>
          <w:sz w:val="24"/>
        </w:rPr>
      </w:pPr>
      <w:r>
        <w:rPr>
          <w:rFonts w:hint="eastAsia" w:hAnsi="宋体"/>
          <w:sz w:val="24"/>
        </w:rPr>
        <w:t>四</w:t>
      </w:r>
      <w:r>
        <w:rPr>
          <w:rFonts w:hAnsi="宋体"/>
          <w:sz w:val="24"/>
        </w:rPr>
        <w:t>.</w:t>
      </w:r>
      <w:r>
        <w:rPr>
          <w:rFonts w:hint="eastAsia" w:hAnsi="宋体"/>
          <w:sz w:val="24"/>
        </w:rPr>
        <w:t>采购项目概况（内容、用途、数量、简要技术要求等）：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30"/>
        <w:gridCol w:w="525"/>
        <w:gridCol w:w="630"/>
        <w:gridCol w:w="1680"/>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Align w:val="center"/>
          </w:tcPr>
          <w:p>
            <w:pPr>
              <w:pStyle w:val="16"/>
              <w:spacing w:line="360" w:lineRule="auto"/>
              <w:ind w:firstLine="0"/>
              <w:jc w:val="center"/>
              <w:rPr>
                <w:rFonts w:hAnsi="宋体"/>
                <w:b/>
                <w:sz w:val="24"/>
              </w:rPr>
            </w:pPr>
            <w:r>
              <w:rPr>
                <w:rFonts w:hint="eastAsia" w:hAnsi="宋体"/>
                <w:b/>
                <w:sz w:val="24"/>
              </w:rPr>
              <w:t>序号</w:t>
            </w:r>
          </w:p>
        </w:tc>
        <w:tc>
          <w:tcPr>
            <w:tcW w:w="2230" w:type="dxa"/>
            <w:vAlign w:val="center"/>
          </w:tcPr>
          <w:p>
            <w:pPr>
              <w:pStyle w:val="16"/>
              <w:spacing w:line="360" w:lineRule="auto"/>
              <w:ind w:firstLine="0"/>
              <w:jc w:val="center"/>
              <w:rPr>
                <w:rFonts w:hAnsi="宋体"/>
                <w:b/>
                <w:sz w:val="24"/>
              </w:rPr>
            </w:pPr>
            <w:r>
              <w:rPr>
                <w:rFonts w:hint="eastAsia" w:hAnsi="宋体"/>
                <w:b/>
                <w:sz w:val="24"/>
              </w:rPr>
              <w:t>项目名称</w:t>
            </w:r>
          </w:p>
        </w:tc>
        <w:tc>
          <w:tcPr>
            <w:tcW w:w="525" w:type="dxa"/>
            <w:vAlign w:val="center"/>
          </w:tcPr>
          <w:p>
            <w:pPr>
              <w:pStyle w:val="16"/>
              <w:spacing w:line="360" w:lineRule="auto"/>
              <w:ind w:firstLine="0"/>
              <w:jc w:val="center"/>
              <w:rPr>
                <w:rFonts w:hAnsi="宋体"/>
                <w:b/>
                <w:sz w:val="24"/>
              </w:rPr>
            </w:pPr>
            <w:r>
              <w:rPr>
                <w:rFonts w:hint="eastAsia" w:hAnsi="宋体"/>
                <w:b/>
                <w:sz w:val="24"/>
              </w:rPr>
              <w:t>数量</w:t>
            </w:r>
          </w:p>
        </w:tc>
        <w:tc>
          <w:tcPr>
            <w:tcW w:w="630" w:type="dxa"/>
            <w:vAlign w:val="center"/>
          </w:tcPr>
          <w:p>
            <w:pPr>
              <w:pStyle w:val="16"/>
              <w:spacing w:line="360" w:lineRule="auto"/>
              <w:ind w:firstLine="0"/>
              <w:jc w:val="center"/>
              <w:rPr>
                <w:rFonts w:hAnsi="宋体"/>
                <w:b/>
                <w:sz w:val="24"/>
              </w:rPr>
            </w:pPr>
            <w:r>
              <w:rPr>
                <w:rFonts w:hint="eastAsia" w:hAnsi="宋体"/>
                <w:b/>
                <w:sz w:val="24"/>
              </w:rPr>
              <w:t>单位</w:t>
            </w:r>
          </w:p>
        </w:tc>
        <w:tc>
          <w:tcPr>
            <w:tcW w:w="1680" w:type="dxa"/>
            <w:vAlign w:val="center"/>
          </w:tcPr>
          <w:p>
            <w:pPr>
              <w:pStyle w:val="16"/>
              <w:spacing w:line="360" w:lineRule="auto"/>
              <w:ind w:firstLine="0"/>
              <w:jc w:val="center"/>
              <w:rPr>
                <w:rFonts w:hAnsi="宋体"/>
                <w:b/>
                <w:sz w:val="24"/>
              </w:rPr>
            </w:pPr>
            <w:r>
              <w:rPr>
                <w:rFonts w:hint="eastAsia" w:hAnsi="宋体"/>
                <w:b/>
                <w:sz w:val="24"/>
              </w:rPr>
              <w:t>预算金额</w:t>
            </w:r>
          </w:p>
          <w:p>
            <w:pPr>
              <w:pStyle w:val="16"/>
              <w:spacing w:line="360" w:lineRule="auto"/>
              <w:ind w:firstLine="0"/>
              <w:jc w:val="center"/>
              <w:rPr>
                <w:rFonts w:hAnsi="宋体"/>
                <w:b/>
                <w:sz w:val="24"/>
              </w:rPr>
            </w:pPr>
            <w:r>
              <w:rPr>
                <w:rFonts w:hint="eastAsia" w:hAnsi="宋体"/>
                <w:b/>
                <w:sz w:val="24"/>
              </w:rPr>
              <w:t>（万元）</w:t>
            </w:r>
          </w:p>
        </w:tc>
        <w:tc>
          <w:tcPr>
            <w:tcW w:w="2849" w:type="dxa"/>
            <w:vAlign w:val="center"/>
          </w:tcPr>
          <w:p>
            <w:pPr>
              <w:pStyle w:val="16"/>
              <w:spacing w:line="360" w:lineRule="auto"/>
              <w:ind w:firstLine="0"/>
              <w:jc w:val="center"/>
              <w:rPr>
                <w:rFonts w:hAnsi="宋体"/>
                <w:b/>
                <w:sz w:val="24"/>
              </w:rPr>
            </w:pPr>
            <w:r>
              <w:rPr>
                <w:rFonts w:hint="eastAsia" w:hAnsi="宋体"/>
                <w:b/>
                <w:sz w:val="24"/>
              </w:rPr>
              <w:t>简要技术描述或</w:t>
            </w:r>
          </w:p>
          <w:p>
            <w:pPr>
              <w:pStyle w:val="16"/>
              <w:spacing w:line="360" w:lineRule="auto"/>
              <w:ind w:firstLine="0"/>
              <w:jc w:val="center"/>
              <w:rPr>
                <w:rFonts w:hAnsi="宋体"/>
                <w:b/>
                <w:sz w:val="24"/>
              </w:rPr>
            </w:pPr>
            <w:r>
              <w:rPr>
                <w:rFonts w:hint="eastAsia" w:hAnsi="宋体"/>
                <w:b/>
                <w:sz w:val="24"/>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8" w:type="dxa"/>
            <w:vAlign w:val="center"/>
          </w:tcPr>
          <w:p>
            <w:pPr>
              <w:pStyle w:val="16"/>
              <w:spacing w:line="360" w:lineRule="auto"/>
              <w:ind w:firstLine="0"/>
              <w:jc w:val="center"/>
              <w:rPr>
                <w:rFonts w:hAnsi="宋体"/>
                <w:sz w:val="24"/>
              </w:rPr>
            </w:pPr>
            <w:r>
              <w:rPr>
                <w:rFonts w:hint="eastAsia" w:hAnsi="宋体"/>
                <w:sz w:val="24"/>
              </w:rPr>
              <w:t>1</w:t>
            </w:r>
          </w:p>
        </w:tc>
        <w:tc>
          <w:tcPr>
            <w:tcW w:w="2230" w:type="dxa"/>
            <w:vAlign w:val="center"/>
          </w:tcPr>
          <w:p>
            <w:pPr>
              <w:pStyle w:val="16"/>
              <w:spacing w:line="360" w:lineRule="auto"/>
              <w:ind w:firstLine="0"/>
              <w:jc w:val="left"/>
              <w:rPr>
                <w:rFonts w:hAnsi="宋体"/>
                <w:sz w:val="24"/>
              </w:rPr>
            </w:pPr>
            <w:r>
              <w:rPr>
                <w:rFonts w:hint="eastAsia" w:hAnsi="宋体"/>
                <w:sz w:val="24"/>
              </w:rPr>
              <w:t>污水处理站沉淀池清淤服务</w:t>
            </w:r>
          </w:p>
        </w:tc>
        <w:tc>
          <w:tcPr>
            <w:tcW w:w="525" w:type="dxa"/>
            <w:vAlign w:val="center"/>
          </w:tcPr>
          <w:p>
            <w:pPr>
              <w:pStyle w:val="16"/>
              <w:spacing w:line="360" w:lineRule="auto"/>
              <w:ind w:firstLine="0"/>
              <w:jc w:val="center"/>
              <w:rPr>
                <w:rFonts w:hAnsi="宋体"/>
                <w:sz w:val="24"/>
              </w:rPr>
            </w:pPr>
            <w:r>
              <w:rPr>
                <w:rFonts w:hint="eastAsia" w:hAnsi="宋体"/>
                <w:sz w:val="24"/>
              </w:rPr>
              <w:t>1</w:t>
            </w:r>
          </w:p>
        </w:tc>
        <w:tc>
          <w:tcPr>
            <w:tcW w:w="630" w:type="dxa"/>
            <w:vAlign w:val="center"/>
          </w:tcPr>
          <w:p>
            <w:pPr>
              <w:pStyle w:val="16"/>
              <w:spacing w:line="360" w:lineRule="auto"/>
              <w:ind w:firstLine="0"/>
              <w:jc w:val="center"/>
              <w:rPr>
                <w:rFonts w:hAnsi="宋体"/>
                <w:sz w:val="24"/>
              </w:rPr>
            </w:pPr>
            <w:r>
              <w:rPr>
                <w:rFonts w:hint="eastAsia" w:hAnsi="宋体"/>
                <w:sz w:val="24"/>
              </w:rPr>
              <w:t>项</w:t>
            </w:r>
          </w:p>
        </w:tc>
        <w:tc>
          <w:tcPr>
            <w:tcW w:w="1680" w:type="dxa"/>
          </w:tcPr>
          <w:p>
            <w:pPr>
              <w:pStyle w:val="16"/>
              <w:spacing w:line="360" w:lineRule="auto"/>
              <w:ind w:firstLine="0"/>
              <w:jc w:val="center"/>
              <w:rPr>
                <w:rFonts w:hAnsi="宋体"/>
                <w:sz w:val="24"/>
              </w:rPr>
            </w:pPr>
          </w:p>
          <w:p>
            <w:pPr>
              <w:pStyle w:val="16"/>
              <w:spacing w:line="360" w:lineRule="auto"/>
              <w:ind w:firstLine="0"/>
              <w:jc w:val="center"/>
              <w:rPr>
                <w:rFonts w:hAnsi="宋体"/>
                <w:sz w:val="24"/>
              </w:rPr>
            </w:pPr>
            <w:r>
              <w:rPr>
                <w:rFonts w:hint="eastAsia" w:hAnsi="宋体"/>
                <w:sz w:val="24"/>
              </w:rPr>
              <w:t>13万元</w:t>
            </w:r>
          </w:p>
          <w:p>
            <w:pPr>
              <w:pStyle w:val="16"/>
              <w:spacing w:line="360" w:lineRule="auto"/>
              <w:ind w:firstLine="0"/>
              <w:jc w:val="center"/>
              <w:rPr>
                <w:rFonts w:hAnsi="宋体"/>
                <w:sz w:val="24"/>
              </w:rPr>
            </w:pPr>
          </w:p>
        </w:tc>
        <w:tc>
          <w:tcPr>
            <w:tcW w:w="2849" w:type="dxa"/>
            <w:vAlign w:val="center"/>
          </w:tcPr>
          <w:p>
            <w:pPr>
              <w:pStyle w:val="16"/>
              <w:spacing w:line="360" w:lineRule="auto"/>
              <w:ind w:firstLine="0"/>
              <w:jc w:val="left"/>
              <w:rPr>
                <w:rFonts w:hAnsi="宋体"/>
                <w:sz w:val="24"/>
              </w:rPr>
            </w:pPr>
            <w:r>
              <w:rPr>
                <w:rFonts w:hint="eastAsia" w:hAnsi="宋体"/>
                <w:sz w:val="24"/>
              </w:rPr>
              <w:t>负责对医院污水处理站沉淀池污泥进行清理处置以及对相关设备进行改造。</w:t>
            </w:r>
          </w:p>
        </w:tc>
      </w:tr>
    </w:tbl>
    <w:p>
      <w:pPr>
        <w:pStyle w:val="16"/>
        <w:spacing w:line="360" w:lineRule="auto"/>
        <w:ind w:firstLine="0"/>
        <w:rPr>
          <w:rFonts w:hAnsi="宋体"/>
          <w:sz w:val="24"/>
        </w:rPr>
      </w:pPr>
    </w:p>
    <w:p>
      <w:pPr>
        <w:pStyle w:val="16"/>
        <w:spacing w:line="360" w:lineRule="auto"/>
        <w:ind w:firstLine="0"/>
        <w:rPr>
          <w:rFonts w:hAnsi="宋体"/>
          <w:sz w:val="24"/>
        </w:rPr>
      </w:pPr>
      <w:r>
        <w:rPr>
          <w:rFonts w:hint="eastAsia" w:hAnsi="宋体"/>
          <w:sz w:val="24"/>
        </w:rPr>
        <w:t>五</w:t>
      </w:r>
      <w:r>
        <w:rPr>
          <w:rFonts w:hAnsi="宋体"/>
          <w:sz w:val="24"/>
        </w:rPr>
        <w:t>.</w:t>
      </w:r>
      <w:r>
        <w:rPr>
          <w:rFonts w:hint="eastAsia" w:hAnsi="宋体"/>
          <w:sz w:val="24"/>
        </w:rPr>
        <w:t>供应商资格条件：</w:t>
      </w:r>
    </w:p>
    <w:p>
      <w:pPr>
        <w:pStyle w:val="16"/>
        <w:spacing w:line="360" w:lineRule="auto"/>
        <w:ind w:firstLine="232" w:firstLineChars="100"/>
        <w:rPr>
          <w:rFonts w:hAnsi="宋体"/>
          <w:sz w:val="24"/>
        </w:rPr>
      </w:pPr>
      <w:r>
        <w:rPr>
          <w:rFonts w:hAnsi="宋体"/>
          <w:sz w:val="24"/>
        </w:rPr>
        <w:t>1</w:t>
      </w:r>
      <w:r>
        <w:rPr>
          <w:rFonts w:hint="eastAsia" w:hAnsi="宋体"/>
          <w:sz w:val="24"/>
        </w:rPr>
        <w:t>、基本条件：</w:t>
      </w:r>
    </w:p>
    <w:p>
      <w:pPr>
        <w:pStyle w:val="16"/>
        <w:spacing w:line="360" w:lineRule="auto"/>
        <w:ind w:firstLine="464" w:firstLineChars="200"/>
        <w:rPr>
          <w:rFonts w:hAnsi="宋体"/>
          <w:sz w:val="24"/>
        </w:rPr>
      </w:pPr>
      <w:r>
        <w:rPr>
          <w:rFonts w:hint="eastAsia" w:hAnsi="宋体"/>
          <w:sz w:val="24"/>
        </w:rPr>
        <w:t>（1）具有独立承担民事责任的能力；</w:t>
      </w:r>
    </w:p>
    <w:p>
      <w:pPr>
        <w:pStyle w:val="16"/>
        <w:spacing w:line="360" w:lineRule="auto"/>
        <w:ind w:firstLine="464" w:firstLineChars="200"/>
        <w:rPr>
          <w:rFonts w:hAnsi="宋体"/>
          <w:sz w:val="24"/>
        </w:rPr>
      </w:pPr>
      <w:r>
        <w:rPr>
          <w:rFonts w:hint="eastAsia" w:hAnsi="宋体"/>
          <w:sz w:val="24"/>
        </w:rPr>
        <w:t>（2）具有良好的商业信誉和健全的财务会计制度；</w:t>
      </w:r>
    </w:p>
    <w:p>
      <w:pPr>
        <w:pStyle w:val="16"/>
        <w:spacing w:line="360" w:lineRule="auto"/>
        <w:ind w:firstLine="464" w:firstLineChars="200"/>
        <w:rPr>
          <w:rFonts w:hAnsi="宋体"/>
          <w:sz w:val="24"/>
        </w:rPr>
      </w:pPr>
      <w:r>
        <w:rPr>
          <w:rFonts w:hint="eastAsia" w:hAnsi="宋体"/>
          <w:sz w:val="24"/>
        </w:rPr>
        <w:t>（3）具有履行合同所必需的设备和专业技术能力；</w:t>
      </w:r>
    </w:p>
    <w:p>
      <w:pPr>
        <w:pStyle w:val="16"/>
        <w:spacing w:line="360" w:lineRule="auto"/>
        <w:ind w:firstLine="464" w:firstLineChars="200"/>
        <w:rPr>
          <w:rFonts w:hAnsi="宋体"/>
          <w:sz w:val="24"/>
        </w:rPr>
      </w:pPr>
      <w:r>
        <w:rPr>
          <w:rFonts w:hint="eastAsia" w:hAnsi="宋体"/>
          <w:sz w:val="24"/>
        </w:rPr>
        <w:t>（4）有依法缴纳税收和社会保障资金的良好记录；</w:t>
      </w:r>
    </w:p>
    <w:p>
      <w:pPr>
        <w:pStyle w:val="16"/>
        <w:spacing w:line="360" w:lineRule="auto"/>
        <w:ind w:firstLine="464" w:firstLineChars="200"/>
        <w:rPr>
          <w:rFonts w:hAnsi="宋体"/>
          <w:sz w:val="24"/>
        </w:rPr>
      </w:pPr>
      <w:r>
        <w:rPr>
          <w:rFonts w:hint="eastAsia" w:hAnsi="宋体"/>
          <w:sz w:val="24"/>
        </w:rPr>
        <w:t>（5）参加采购活动前三年内，在经营活动中没有重大违法记录。</w:t>
      </w:r>
    </w:p>
    <w:p>
      <w:pPr>
        <w:pStyle w:val="16"/>
        <w:spacing w:line="360" w:lineRule="auto"/>
        <w:ind w:firstLine="464" w:firstLineChars="200"/>
        <w:rPr>
          <w:rFonts w:hAnsi="宋体"/>
          <w:sz w:val="24"/>
        </w:rPr>
      </w:pPr>
      <w:r>
        <w:rPr>
          <w:rFonts w:hint="eastAsia" w:hAnsi="宋体"/>
          <w:sz w:val="24"/>
        </w:rPr>
        <w:t>（6）法律、行政法规规定的其他条件。</w:t>
      </w:r>
    </w:p>
    <w:p>
      <w:pPr>
        <w:pStyle w:val="16"/>
        <w:spacing w:line="360" w:lineRule="auto"/>
        <w:rPr>
          <w:rFonts w:hAnsi="宋体"/>
          <w:sz w:val="24"/>
        </w:rPr>
      </w:pPr>
      <w:r>
        <w:rPr>
          <w:rFonts w:hint="eastAsia" w:hAnsi="宋体"/>
          <w:sz w:val="24"/>
        </w:rPr>
        <w:t>2、特定资格条件：无。</w:t>
      </w:r>
    </w:p>
    <w:p>
      <w:pPr>
        <w:pStyle w:val="16"/>
        <w:spacing w:line="360" w:lineRule="auto"/>
        <w:rPr>
          <w:rFonts w:hAnsi="宋体"/>
          <w:sz w:val="24"/>
        </w:rPr>
      </w:pPr>
      <w:r>
        <w:rPr>
          <w:rFonts w:hint="eastAsia" w:hAnsi="宋体"/>
          <w:sz w:val="24"/>
        </w:rPr>
        <w:t>3、</w:t>
      </w:r>
      <w:r>
        <w:rPr>
          <w:rFonts w:hAnsi="宋体"/>
          <w:sz w:val="24"/>
        </w:rPr>
        <w:t>本项目</w:t>
      </w:r>
      <w:r>
        <w:rPr>
          <w:rFonts w:hint="eastAsia" w:hAnsi="宋体" w:cs="Arial"/>
          <w:kern w:val="0"/>
          <w:sz w:val="24"/>
        </w:rPr>
        <w:t>不</w:t>
      </w:r>
      <w:r>
        <w:rPr>
          <w:rFonts w:hAnsi="宋体"/>
          <w:sz w:val="24"/>
        </w:rPr>
        <w:t>接受联合体投标。</w:t>
      </w:r>
    </w:p>
    <w:p>
      <w:pPr>
        <w:pStyle w:val="16"/>
        <w:spacing w:line="360" w:lineRule="auto"/>
        <w:ind w:firstLine="0"/>
        <w:rPr>
          <w:rFonts w:hAnsi="宋体"/>
          <w:sz w:val="24"/>
          <w:highlight w:val="cyan"/>
        </w:rPr>
      </w:pPr>
      <w:r>
        <w:rPr>
          <w:rFonts w:hint="eastAsia" w:hAnsi="宋体"/>
          <w:sz w:val="24"/>
        </w:rPr>
        <w:t>六.获取采购文件:</w:t>
      </w:r>
      <w:r>
        <w:rPr>
          <w:rFonts w:hint="eastAsia" w:hAnsi="宋体" w:cs="宋体"/>
          <w:sz w:val="24"/>
        </w:rPr>
        <w:t>浙江中医药大学附属第二医院官网下载。</w:t>
      </w:r>
    </w:p>
    <w:p>
      <w:pPr>
        <w:pStyle w:val="16"/>
        <w:spacing w:line="360" w:lineRule="auto"/>
        <w:ind w:firstLine="0"/>
        <w:rPr>
          <w:rFonts w:hAnsi="宋体"/>
          <w:sz w:val="24"/>
        </w:rPr>
      </w:pPr>
      <w:r>
        <w:rPr>
          <w:rFonts w:hint="eastAsia" w:hAnsi="宋体"/>
          <w:sz w:val="24"/>
        </w:rPr>
        <w:t>七</w:t>
      </w:r>
      <w:r>
        <w:rPr>
          <w:rFonts w:hAnsi="宋体"/>
          <w:sz w:val="24"/>
        </w:rPr>
        <w:t>. 响应文件提交截止</w:t>
      </w:r>
      <w:r>
        <w:rPr>
          <w:rFonts w:hint="eastAsia" w:hAnsi="宋体"/>
          <w:sz w:val="24"/>
        </w:rPr>
        <w:t>时间：</w:t>
      </w:r>
      <w:bookmarkStart w:id="35" w:name="B22_谈判响应文件提交截止日期"/>
      <w:bookmarkEnd w:id="35"/>
      <w:r>
        <w:rPr>
          <w:rFonts w:hint="eastAsia" w:hAnsi="宋体"/>
          <w:b/>
          <w:sz w:val="24"/>
          <w:u w:val="single"/>
        </w:rPr>
        <w:t xml:space="preserve">2022年 6 月 </w:t>
      </w:r>
      <w:r>
        <w:rPr>
          <w:rFonts w:hint="eastAsia" w:hAnsi="宋体"/>
          <w:b/>
          <w:sz w:val="24"/>
          <w:u w:val="single"/>
          <w:lang w:val="en-US" w:eastAsia="zh-CN"/>
        </w:rPr>
        <w:t>17</w:t>
      </w:r>
      <w:r>
        <w:rPr>
          <w:rFonts w:hint="eastAsia" w:hAnsi="宋体"/>
          <w:b/>
          <w:sz w:val="24"/>
          <w:u w:val="single"/>
        </w:rPr>
        <w:t xml:space="preserve"> 日16  时 30 分（北京时间）。</w:t>
      </w:r>
      <w:r>
        <w:rPr>
          <w:rFonts w:hint="eastAsia" w:hAnsi="宋体"/>
          <w:sz w:val="24"/>
        </w:rPr>
        <w:t>凡符合条件并有投标意向的独立法人，请于2022年 6月</w:t>
      </w:r>
      <w:r>
        <w:rPr>
          <w:rFonts w:hint="eastAsia" w:hAnsi="宋体"/>
          <w:sz w:val="24"/>
          <w:lang w:val="en-US" w:eastAsia="zh-CN"/>
        </w:rPr>
        <w:t>17</w:t>
      </w:r>
      <w:r>
        <w:rPr>
          <w:rFonts w:hint="eastAsia" w:hAnsi="宋体"/>
          <w:sz w:val="24"/>
        </w:rPr>
        <w:t>日16:30之前，至浙江中医药大学附属第二医院参与投标。</w:t>
      </w:r>
    </w:p>
    <w:p>
      <w:pPr>
        <w:pStyle w:val="16"/>
        <w:spacing w:line="360" w:lineRule="auto"/>
        <w:ind w:firstLine="0"/>
        <w:rPr>
          <w:rFonts w:hAnsi="宋体"/>
          <w:sz w:val="24"/>
          <w:highlight w:val="cyan"/>
        </w:rPr>
      </w:pPr>
      <w:r>
        <w:rPr>
          <w:rFonts w:hint="eastAsia" w:hAnsi="宋体"/>
          <w:sz w:val="24"/>
        </w:rPr>
        <w:t>八</w:t>
      </w:r>
      <w:r>
        <w:rPr>
          <w:rFonts w:hAnsi="宋体"/>
          <w:sz w:val="24"/>
        </w:rPr>
        <w:t>.</w:t>
      </w:r>
      <w:r>
        <w:rPr>
          <w:rFonts w:hint="eastAsia" w:hAnsi="宋体" w:cs="宋体"/>
          <w:sz w:val="24"/>
        </w:rPr>
        <w:t>响应文件要求及提交地址：响应文件</w:t>
      </w:r>
      <w:r>
        <w:rPr>
          <w:rFonts w:hint="eastAsia" w:hAnsi="宋体"/>
          <w:sz w:val="24"/>
        </w:rPr>
        <w:t>（1正本2副本）密封提交至</w:t>
      </w:r>
      <w:r>
        <w:rPr>
          <w:rFonts w:hint="eastAsia" w:hAnsi="宋体" w:cs="宋体"/>
          <w:b/>
          <w:sz w:val="24"/>
        </w:rPr>
        <w:t>浙江中医药大学附属第二医院，文二路8号建科院二楼219室，</w:t>
      </w:r>
      <w:r>
        <w:rPr>
          <w:rFonts w:hint="eastAsia" w:hAnsi="宋体" w:cs="宋体"/>
          <w:bCs/>
          <w:sz w:val="24"/>
        </w:rPr>
        <w:t>文件封面注明本次</w:t>
      </w:r>
      <w:r>
        <w:rPr>
          <w:rFonts w:hint="eastAsia" w:hAnsi="宋体"/>
          <w:sz w:val="24"/>
        </w:rPr>
        <w:t>法定代表委托授权人（联系人）的姓名和联系电话。</w:t>
      </w:r>
    </w:p>
    <w:p>
      <w:pPr>
        <w:pStyle w:val="16"/>
        <w:spacing w:line="360" w:lineRule="auto"/>
        <w:ind w:firstLine="0"/>
        <w:rPr>
          <w:rFonts w:hAnsi="宋体"/>
          <w:sz w:val="24"/>
          <w:highlight w:val="cyan"/>
        </w:rPr>
      </w:pPr>
      <w:r>
        <w:rPr>
          <w:rFonts w:hint="eastAsia" w:hAnsi="宋体"/>
          <w:sz w:val="24"/>
        </w:rPr>
        <w:t>九</w:t>
      </w:r>
      <w:r>
        <w:rPr>
          <w:rFonts w:hAnsi="宋体"/>
          <w:sz w:val="24"/>
        </w:rPr>
        <w:t>.</w:t>
      </w:r>
      <w:r>
        <w:rPr>
          <w:rFonts w:hint="eastAsia" w:hAnsi="宋体"/>
          <w:sz w:val="24"/>
        </w:rPr>
        <w:t>磋商时间：</w:t>
      </w:r>
      <w:bookmarkStart w:id="36" w:name="B25_谈判时间日期"/>
      <w:bookmarkEnd w:id="36"/>
      <w:r>
        <w:rPr>
          <w:rFonts w:hint="eastAsia" w:hAnsi="宋体" w:cs="宋体"/>
          <w:sz w:val="24"/>
        </w:rPr>
        <w:t>另行通知</w:t>
      </w:r>
    </w:p>
    <w:p>
      <w:pPr>
        <w:pStyle w:val="16"/>
        <w:spacing w:line="360" w:lineRule="auto"/>
        <w:ind w:firstLine="0"/>
        <w:rPr>
          <w:rFonts w:hAnsi="宋体"/>
          <w:sz w:val="24"/>
        </w:rPr>
      </w:pPr>
      <w:r>
        <w:rPr>
          <w:rFonts w:hint="eastAsia" w:hAnsi="宋体"/>
          <w:sz w:val="24"/>
        </w:rPr>
        <w:t>十</w:t>
      </w:r>
      <w:r>
        <w:rPr>
          <w:rFonts w:hAnsi="宋体"/>
          <w:sz w:val="24"/>
        </w:rPr>
        <w:t>.</w:t>
      </w:r>
      <w:r>
        <w:rPr>
          <w:rFonts w:hint="eastAsia" w:hAnsi="宋体"/>
          <w:sz w:val="24"/>
        </w:rPr>
        <w:t>磋商地址：</w:t>
      </w:r>
      <w:r>
        <w:rPr>
          <w:rFonts w:hint="eastAsia" w:hAnsi="宋体" w:cs="宋体"/>
          <w:b/>
          <w:sz w:val="24"/>
        </w:rPr>
        <w:t>浙江中医药大学附属第二医院，具体地点另行通知</w:t>
      </w:r>
    </w:p>
    <w:p>
      <w:pPr>
        <w:pStyle w:val="16"/>
        <w:spacing w:line="360" w:lineRule="auto"/>
        <w:ind w:firstLine="582" w:firstLineChars="250"/>
        <w:rPr>
          <w:rFonts w:hAnsi="宋体"/>
          <w:b/>
          <w:bCs/>
          <w:sz w:val="24"/>
        </w:rPr>
      </w:pPr>
      <w:r>
        <w:rPr>
          <w:rFonts w:hint="eastAsia" w:hAnsi="宋体"/>
          <w:b/>
          <w:bCs/>
          <w:sz w:val="24"/>
        </w:rPr>
        <w:t>注：疫情防控期间，每个单位仅派1名法定代表委托授权人参加，并须准备48小时内的核酸检测阴性报告，配合医院做好人员登记、绿码检查与体温测量等工作。</w:t>
      </w:r>
    </w:p>
    <w:p>
      <w:pPr>
        <w:pStyle w:val="16"/>
        <w:spacing w:line="360" w:lineRule="auto"/>
        <w:ind w:firstLine="0"/>
        <w:rPr>
          <w:rFonts w:hAnsi="宋体" w:cs="宋体"/>
          <w:sz w:val="24"/>
        </w:rPr>
      </w:pPr>
      <w:r>
        <w:rPr>
          <w:rFonts w:hint="eastAsia" w:hAnsi="宋体" w:cs="宋体"/>
          <w:sz w:val="24"/>
        </w:rPr>
        <w:t>十一.联系人</w:t>
      </w:r>
    </w:p>
    <w:p>
      <w:pPr>
        <w:pStyle w:val="16"/>
        <w:spacing w:line="360" w:lineRule="auto"/>
        <w:ind w:firstLine="360"/>
        <w:rPr>
          <w:rFonts w:hAnsi="宋体"/>
          <w:sz w:val="24"/>
        </w:rPr>
      </w:pPr>
      <w:r>
        <w:rPr>
          <w:rFonts w:hint="eastAsia" w:hAnsi="宋体" w:cs="宋体"/>
          <w:sz w:val="24"/>
        </w:rPr>
        <w:t>采购人名称：浙江中医药大学附属第二医院</w:t>
      </w:r>
    </w:p>
    <w:p>
      <w:pPr>
        <w:pStyle w:val="16"/>
        <w:spacing w:line="360" w:lineRule="auto"/>
        <w:ind w:firstLine="360"/>
        <w:rPr>
          <w:rFonts w:hAnsi="宋体"/>
          <w:sz w:val="24"/>
        </w:rPr>
      </w:pPr>
      <w:r>
        <w:rPr>
          <w:rFonts w:hint="eastAsia" w:hAnsi="宋体"/>
          <w:sz w:val="24"/>
        </w:rPr>
        <w:t xml:space="preserve">地址：杭州市西湖区文二路8号建科院二楼219室            </w:t>
      </w:r>
    </w:p>
    <w:p>
      <w:pPr>
        <w:pStyle w:val="16"/>
        <w:spacing w:line="360" w:lineRule="auto"/>
        <w:ind w:firstLine="360"/>
        <w:rPr>
          <w:rFonts w:hAnsi="宋体"/>
          <w:sz w:val="24"/>
        </w:rPr>
      </w:pPr>
      <w:r>
        <w:rPr>
          <w:rFonts w:hint="eastAsia" w:hAnsi="宋体"/>
          <w:sz w:val="24"/>
        </w:rPr>
        <w:t>联系人（文件递交）：郭老师</w:t>
      </w:r>
    </w:p>
    <w:p>
      <w:pPr>
        <w:pStyle w:val="16"/>
        <w:spacing w:line="360" w:lineRule="auto"/>
        <w:ind w:firstLine="360"/>
        <w:rPr>
          <w:rFonts w:hAnsi="宋体"/>
          <w:sz w:val="24"/>
        </w:rPr>
      </w:pPr>
      <w:r>
        <w:rPr>
          <w:rFonts w:hint="eastAsia" w:hAnsi="宋体"/>
          <w:sz w:val="24"/>
        </w:rPr>
        <w:t>联系电话：0571-85267031</w:t>
      </w:r>
    </w:p>
    <w:p>
      <w:pPr>
        <w:pStyle w:val="16"/>
        <w:spacing w:line="360" w:lineRule="auto"/>
        <w:ind w:firstLine="360"/>
        <w:rPr>
          <w:rFonts w:hAnsi="宋体"/>
          <w:sz w:val="24"/>
          <w:highlight w:val="none"/>
        </w:rPr>
      </w:pPr>
      <w:r>
        <w:rPr>
          <w:rFonts w:hint="eastAsia" w:hAnsi="宋体"/>
          <w:sz w:val="24"/>
          <w:highlight w:val="none"/>
        </w:rPr>
        <w:t>联系人（项目询问）：许老师</w:t>
      </w:r>
    </w:p>
    <w:p>
      <w:pPr>
        <w:pStyle w:val="16"/>
        <w:spacing w:line="360" w:lineRule="auto"/>
        <w:ind w:firstLine="360"/>
        <w:rPr>
          <w:rFonts w:hAnsi="宋体"/>
          <w:sz w:val="24"/>
          <w:highlight w:val="none"/>
        </w:rPr>
      </w:pPr>
      <w:r>
        <w:rPr>
          <w:rFonts w:hint="eastAsia" w:hAnsi="宋体"/>
          <w:sz w:val="24"/>
          <w:highlight w:val="none"/>
        </w:rPr>
        <w:t>联系电话：13515713390</w:t>
      </w:r>
    </w:p>
    <w:p>
      <w:pPr>
        <w:snapToGrid w:val="0"/>
        <w:spacing w:line="360" w:lineRule="auto"/>
        <w:ind w:left="238"/>
        <w:jc w:val="right"/>
        <w:rPr>
          <w:rFonts w:ascii="宋体" w:hAnsi="宋体"/>
          <w:b/>
          <w:sz w:val="24"/>
        </w:rPr>
      </w:pPr>
      <w:r>
        <w:rPr>
          <w:rFonts w:ascii="宋体" w:hAnsi="宋体"/>
          <w:sz w:val="24"/>
        </w:rPr>
        <w:t xml:space="preserve">                                    </w:t>
      </w:r>
    </w:p>
    <w:p>
      <w:pPr>
        <w:snapToGrid w:val="0"/>
        <w:spacing w:line="360" w:lineRule="auto"/>
        <w:ind w:left="238"/>
        <w:jc w:val="center"/>
        <w:rPr>
          <w:rFonts w:ascii="宋体" w:hAnsi="宋体"/>
          <w:sz w:val="30"/>
          <w:szCs w:val="30"/>
        </w:rPr>
      </w:pPr>
      <w:r>
        <w:rPr>
          <w:rFonts w:ascii="宋体" w:hAnsi="宋体"/>
        </w:rPr>
        <w:br w:type="page"/>
      </w:r>
      <w:bookmarkStart w:id="37" w:name="_Toc482204278"/>
      <w:r>
        <w:rPr>
          <w:rFonts w:hint="eastAsia" w:ascii="宋体" w:hAnsi="宋体"/>
          <w:b/>
          <w:sz w:val="30"/>
          <w:szCs w:val="30"/>
        </w:rPr>
        <w:t>第二章 供应商须知</w:t>
      </w:r>
      <w:bookmarkEnd w:id="37"/>
    </w:p>
    <w:p>
      <w:pPr>
        <w:snapToGrid w:val="0"/>
        <w:spacing w:before="120" w:beforeLines="50" w:after="120" w:afterLines="50" w:line="360" w:lineRule="auto"/>
        <w:ind w:left="238"/>
        <w:jc w:val="center"/>
        <w:rPr>
          <w:rFonts w:ascii="宋体" w:hAnsi="宋体"/>
          <w:b/>
          <w:sz w:val="28"/>
          <w:szCs w:val="28"/>
        </w:rPr>
      </w:pPr>
      <w:r>
        <w:rPr>
          <w:rFonts w:hint="eastAsia" w:ascii="宋体" w:hAnsi="宋体"/>
          <w:b/>
          <w:sz w:val="28"/>
          <w:szCs w:val="28"/>
        </w:rPr>
        <w:t>前附表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1657"/>
        <w:gridCol w:w="6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名  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hAnsi="宋体"/>
                <w:sz w:val="24"/>
              </w:rPr>
              <w:t>污水处理站沉淀池清淤服务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ascii="宋体" w:hAnsi="宋体"/>
                <w:color w:val="000000"/>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采购内</w:t>
            </w:r>
          </w:p>
          <w:p>
            <w:pPr>
              <w:snapToGrid w:val="0"/>
              <w:spacing w:line="360" w:lineRule="auto"/>
              <w:jc w:val="center"/>
              <w:rPr>
                <w:rFonts w:ascii="宋体" w:hAnsi="宋体"/>
                <w:color w:val="000000"/>
                <w:sz w:val="24"/>
              </w:rPr>
            </w:pPr>
            <w:r>
              <w:rPr>
                <w:rFonts w:hint="eastAsia" w:ascii="宋体" w:hAnsi="宋体"/>
                <w:color w:val="000000"/>
                <w:sz w:val="24"/>
              </w:rPr>
              <w:t>容及数量</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浙江中医药大学附属第二医院</w:t>
            </w:r>
            <w:r>
              <w:rPr>
                <w:rFonts w:hint="eastAsia" w:hAnsi="宋体"/>
                <w:sz w:val="24"/>
              </w:rPr>
              <w:t>污水处理站沉淀池清淤服务</w:t>
            </w:r>
            <w:r>
              <w:rPr>
                <w:rFonts w:hint="eastAsia" w:ascii="宋体" w:hAnsi="宋体"/>
                <w:color w:val="000000"/>
                <w:sz w:val="24"/>
              </w:rPr>
              <w:t>，</w:t>
            </w:r>
            <w:r>
              <w:rPr>
                <w:rFonts w:hint="eastAsia" w:hAnsi="宋体"/>
                <w:sz w:val="24"/>
              </w:rPr>
              <w:t>负责</w:t>
            </w:r>
            <w:r>
              <w:rPr>
                <w:rFonts w:hint="eastAsia" w:ascii="宋体" w:hAnsi="宋体"/>
                <w:sz w:val="24"/>
              </w:rPr>
              <w:t>对</w:t>
            </w:r>
            <w:r>
              <w:rPr>
                <w:rFonts w:hint="eastAsia" w:hAnsi="宋体"/>
                <w:sz w:val="24"/>
              </w:rPr>
              <w:t>医院</w:t>
            </w:r>
            <w:r>
              <w:rPr>
                <w:rFonts w:hint="eastAsia" w:ascii="宋体" w:hAnsi="宋体"/>
                <w:sz w:val="24"/>
              </w:rPr>
              <w:t>污水</w:t>
            </w:r>
            <w:r>
              <w:rPr>
                <w:rFonts w:hint="eastAsia" w:hAnsi="宋体"/>
                <w:sz w:val="24"/>
              </w:rPr>
              <w:t>处理</w:t>
            </w:r>
            <w:r>
              <w:rPr>
                <w:rFonts w:hint="eastAsia" w:ascii="宋体" w:hAnsi="宋体"/>
                <w:sz w:val="24"/>
              </w:rPr>
              <w:t>站沉淀池污泥进行清理处置</w:t>
            </w:r>
            <w:r>
              <w:rPr>
                <w:rFonts w:hint="eastAsia" w:hAnsi="宋体"/>
                <w:sz w:val="24"/>
              </w:rPr>
              <w:t>以及</w:t>
            </w:r>
            <w:r>
              <w:rPr>
                <w:rFonts w:hint="eastAsia" w:ascii="宋体" w:hAnsi="宋体"/>
                <w:sz w:val="24"/>
              </w:rPr>
              <w:t>对相关设备进行改造。</w:t>
            </w:r>
          </w:p>
          <w:p>
            <w:pPr>
              <w:snapToGrid w:val="0"/>
              <w:spacing w:line="360" w:lineRule="auto"/>
              <w:rPr>
                <w:rFonts w:ascii="宋体" w:hAnsi="宋体"/>
                <w:color w:val="000000"/>
                <w:sz w:val="24"/>
              </w:rPr>
            </w:pPr>
            <w:r>
              <w:rPr>
                <w:rFonts w:hint="eastAsia" w:ascii="宋体" w:hAnsi="宋体"/>
                <w:color w:val="000000"/>
                <w:sz w:val="24"/>
              </w:rPr>
              <w:t>数量：1项。</w:t>
            </w:r>
          </w:p>
          <w:p>
            <w:pPr>
              <w:snapToGrid w:val="0"/>
              <w:spacing w:line="360" w:lineRule="auto"/>
              <w:rPr>
                <w:rFonts w:ascii="宋体" w:hAnsi="宋体"/>
                <w:color w:val="000000"/>
                <w:sz w:val="24"/>
              </w:rPr>
            </w:pPr>
            <w:r>
              <w:rPr>
                <w:rFonts w:hint="eastAsia" w:ascii="宋体" w:hAnsi="宋体"/>
                <w:color w:val="000000"/>
                <w:sz w:val="24"/>
              </w:rPr>
              <w:t>合同形式：总价包干合同。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预算金额</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color w:val="000000"/>
                <w:sz w:val="24"/>
              </w:rPr>
            </w:pPr>
            <w:r>
              <w:rPr>
                <w:rFonts w:hint="eastAsia" w:ascii="宋体" w:hAnsi="宋体"/>
                <w:b/>
                <w:bCs/>
                <w:color w:val="000000"/>
                <w:sz w:val="24"/>
              </w:rPr>
              <w:t>本项目预算金额为人民币</w:t>
            </w:r>
            <w:r>
              <w:rPr>
                <w:rFonts w:hint="eastAsia" w:ascii="宋体" w:hAnsi="宋体"/>
                <w:b/>
                <w:bCs/>
                <w:color w:val="000000"/>
                <w:sz w:val="24"/>
                <w:u w:val="single"/>
              </w:rPr>
              <w:t>13</w:t>
            </w:r>
            <w:r>
              <w:rPr>
                <w:rFonts w:hint="eastAsia" w:ascii="宋体" w:hAnsi="宋体"/>
                <w:b/>
                <w:bCs/>
                <w:color w:val="000000"/>
                <w:sz w:val="24"/>
              </w:rPr>
              <w:t>万元。</w:t>
            </w:r>
          </w:p>
          <w:p>
            <w:pPr>
              <w:snapToGrid w:val="0"/>
              <w:spacing w:line="360" w:lineRule="auto"/>
              <w:rPr>
                <w:rFonts w:ascii="宋体" w:hAnsi="宋体"/>
                <w:color w:val="000000"/>
                <w:sz w:val="24"/>
              </w:rPr>
            </w:pPr>
            <w:r>
              <w:rPr>
                <w:rFonts w:hint="eastAsia" w:ascii="宋体" w:hAnsi="宋体"/>
                <w:b/>
                <w:color w:val="000000"/>
                <w:sz w:val="24"/>
                <w:u w:val="single"/>
              </w:rPr>
              <w:t>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szCs w:val="20"/>
              </w:rPr>
            </w:pPr>
            <w:r>
              <w:rPr>
                <w:rFonts w:hint="eastAsia" w:ascii="宋体" w:hAnsi="宋体"/>
                <w:color w:val="000000"/>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磋商报价</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1、报价应按采购文件中相关附表格式填写；</w:t>
            </w:r>
          </w:p>
          <w:p>
            <w:pPr>
              <w:spacing w:line="360" w:lineRule="auto"/>
              <w:rPr>
                <w:rFonts w:ascii="宋体" w:hAnsi="宋体"/>
                <w:b/>
                <w:sz w:val="24"/>
              </w:rPr>
            </w:pPr>
            <w:r>
              <w:rPr>
                <w:rFonts w:hint="eastAsia" w:ascii="宋体" w:hAnsi="宋体"/>
                <w:color w:val="000000"/>
                <w:sz w:val="24"/>
              </w:rPr>
              <w:t>2、报价为完成本项目的全部费用的价格体现，包括人工费、材料费、安装费、设备使用费、垃圾清运及处置费、管理费、质保期内的维修更换费、利润、风险、税金以及与完成本项目有关的所有费用。</w:t>
            </w:r>
          </w:p>
          <w:p>
            <w:pPr>
              <w:snapToGrid w:val="0"/>
              <w:spacing w:line="360" w:lineRule="auto"/>
              <w:rPr>
                <w:rFonts w:ascii="宋体" w:hAnsi="宋体"/>
                <w:color w:val="000000"/>
                <w:sz w:val="24"/>
              </w:rPr>
            </w:pPr>
            <w:r>
              <w:rPr>
                <w:rFonts w:hint="eastAsia" w:ascii="宋体" w:hAnsi="宋体"/>
                <w:color w:val="000000"/>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26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rPr>
                <w:rFonts w:hAnsi="宋体"/>
                <w:sz w:val="24"/>
              </w:rPr>
            </w:pPr>
            <w:r>
              <w:rPr>
                <w:rFonts w:hint="eastAsia" w:hAnsi="宋体"/>
                <w:sz w:val="24"/>
              </w:rPr>
              <w:t>不统一组织踏勘。供应商投标前须自行踏勘现场。</w:t>
            </w:r>
          </w:p>
          <w:p>
            <w:pPr>
              <w:pStyle w:val="16"/>
              <w:spacing w:line="360" w:lineRule="auto"/>
              <w:ind w:firstLine="0"/>
              <w:rPr>
                <w:rFonts w:hAnsi="宋体"/>
                <w:sz w:val="24"/>
                <w:highlight w:val="none"/>
              </w:rPr>
            </w:pPr>
            <w:r>
              <w:rPr>
                <w:rFonts w:hint="eastAsia" w:hAnsi="宋体"/>
                <w:sz w:val="24"/>
                <w:highlight w:val="none"/>
              </w:rPr>
              <w:t>联系人：许老师   联系电话：13515713390</w:t>
            </w:r>
          </w:p>
          <w:p>
            <w:pPr>
              <w:pStyle w:val="16"/>
              <w:spacing w:line="360" w:lineRule="auto"/>
              <w:ind w:firstLine="0"/>
              <w:rPr>
                <w:rFonts w:hAnsi="宋体"/>
                <w:sz w:val="24"/>
              </w:rPr>
            </w:pPr>
            <w:r>
              <w:rPr>
                <w:rFonts w:hint="eastAsia" w:hAnsi="宋体"/>
                <w:sz w:val="24"/>
              </w:rPr>
              <w:t>投标人现场踏勘需提前与招标人联系，并准备72小时内的核酸检测阴性报告。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样品</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演示</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供应商如认为采购文件表述不清晰、前后矛盾等内容的，应当在响应文件递交截止日</w:t>
            </w:r>
            <w:r>
              <w:rPr>
                <w:rFonts w:hint="eastAsia" w:ascii="宋体" w:hAnsi="宋体"/>
                <w:sz w:val="24"/>
                <w:u w:val="single"/>
              </w:rPr>
              <w:t xml:space="preserve">  5  </w:t>
            </w:r>
            <w:r>
              <w:rPr>
                <w:rFonts w:hint="eastAsia" w:ascii="宋体" w:hAnsi="宋体"/>
                <w:sz w:val="24"/>
              </w:rPr>
              <w:t>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2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装订要求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响应文件装订成册，采用胶装，不得采用活页装订。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密封要求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响应文件正本、副本一起密封。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
                <w:sz w:val="24"/>
                <w:u w:val="single"/>
              </w:rPr>
            </w:pPr>
            <w:r>
              <w:rPr>
                <w:rFonts w:hint="eastAsia" w:ascii="宋体" w:hAnsi="宋体"/>
                <w:sz w:val="24"/>
              </w:rPr>
              <w:t>响应文件递交截止时间：</w:t>
            </w:r>
            <w:r>
              <w:rPr>
                <w:rFonts w:hint="eastAsia" w:hAnsi="宋体"/>
                <w:b/>
                <w:sz w:val="24"/>
                <w:u w:val="single"/>
              </w:rPr>
              <w:t>2022年6月</w:t>
            </w:r>
            <w:r>
              <w:rPr>
                <w:rFonts w:hint="eastAsia" w:hAnsi="宋体"/>
                <w:b/>
                <w:sz w:val="24"/>
                <w:u w:val="single"/>
                <w:lang w:val="en-US" w:eastAsia="zh-CN"/>
              </w:rPr>
              <w:t>17</w:t>
            </w:r>
            <w:r>
              <w:rPr>
                <w:rFonts w:hint="eastAsia" w:hAnsi="宋体"/>
                <w:b/>
                <w:sz w:val="24"/>
                <w:u w:val="single"/>
              </w:rPr>
              <w:t xml:space="preserve">日 </w:t>
            </w:r>
            <w:r>
              <w:rPr>
                <w:rFonts w:hint="eastAsia" w:hAnsi="宋体"/>
                <w:b/>
                <w:sz w:val="24"/>
                <w:u w:val="single"/>
                <w:lang w:val="en-US" w:eastAsia="zh-CN"/>
              </w:rPr>
              <w:t>16</w:t>
            </w:r>
            <w:r>
              <w:rPr>
                <w:rFonts w:hint="eastAsia" w:hAnsi="宋体"/>
                <w:b/>
                <w:sz w:val="24"/>
                <w:u w:val="single"/>
              </w:rPr>
              <w:t xml:space="preserve">时 </w:t>
            </w:r>
            <w:r>
              <w:rPr>
                <w:rFonts w:hint="eastAsia" w:hAnsi="宋体"/>
                <w:b/>
                <w:sz w:val="24"/>
                <w:u w:val="single"/>
                <w:lang w:val="en-US" w:eastAsia="zh-CN"/>
              </w:rPr>
              <w:t>30</w:t>
            </w:r>
            <w:r>
              <w:rPr>
                <w:rFonts w:hint="eastAsia" w:hAnsi="宋体"/>
                <w:b/>
                <w:sz w:val="24"/>
                <w:u w:val="single"/>
              </w:rPr>
              <w:t>分（北京时间）</w:t>
            </w:r>
          </w:p>
          <w:p>
            <w:pPr>
              <w:snapToGrid w:val="0"/>
              <w:spacing w:line="360" w:lineRule="auto"/>
              <w:rPr>
                <w:rFonts w:ascii="宋体" w:hAnsi="宋体"/>
                <w:sz w:val="24"/>
                <w:szCs w:val="20"/>
              </w:rPr>
            </w:pPr>
            <w:r>
              <w:rPr>
                <w:rFonts w:hint="eastAsia" w:ascii="宋体" w:hAnsi="宋体"/>
                <w:sz w:val="24"/>
              </w:rPr>
              <w:t>响应文件递交地点：</w:t>
            </w:r>
            <w:r>
              <w:rPr>
                <w:rFonts w:hint="eastAsia" w:ascii="宋体" w:hAnsi="宋体" w:cs="宋体"/>
                <w:b/>
                <w:sz w:val="24"/>
              </w:rPr>
              <w:t>浙江中医药大学附属第二医院，文二路8号建科院二楼219室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磋商时</w:t>
            </w:r>
          </w:p>
          <w:p>
            <w:pPr>
              <w:snapToGrid w:val="0"/>
              <w:spacing w:line="360" w:lineRule="auto"/>
              <w:jc w:val="center"/>
              <w:rPr>
                <w:rFonts w:ascii="宋体" w:hAnsi="宋体"/>
                <w:sz w:val="24"/>
              </w:rPr>
            </w:pPr>
            <w:r>
              <w:rPr>
                <w:rFonts w:hint="eastAsia" w:ascii="宋体" w:hAnsi="宋体"/>
                <w:sz w:val="24"/>
              </w:rPr>
              <w:t>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u w:val="single"/>
              </w:rPr>
            </w:pPr>
            <w:r>
              <w:rPr>
                <w:rFonts w:hint="eastAsia" w:ascii="宋体" w:hAnsi="宋体" w:cs="宋体"/>
                <w:sz w:val="24"/>
              </w:rPr>
              <w:t>磋商时间：另行通知</w:t>
            </w:r>
          </w:p>
          <w:p>
            <w:pPr>
              <w:snapToGrid w:val="0"/>
              <w:spacing w:line="360" w:lineRule="auto"/>
              <w:rPr>
                <w:rFonts w:ascii="宋体" w:hAnsi="宋体"/>
                <w:sz w:val="24"/>
                <w:szCs w:val="20"/>
              </w:rPr>
            </w:pPr>
            <w:r>
              <w:rPr>
                <w:rFonts w:hint="eastAsia" w:ascii="宋体" w:hAnsi="宋体" w:cs="宋体"/>
                <w:sz w:val="24"/>
              </w:rPr>
              <w:t>磋商地点：另行通知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评审办法</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hAnsi="宋体" w:cs="宋体"/>
                <w:sz w:val="24"/>
              </w:rPr>
              <w:t>浙江中医药大学附属第二医院官网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自响应文件递交截止时间起</w:t>
            </w:r>
            <w:r>
              <w:rPr>
                <w:rFonts w:hint="eastAsia" w:ascii="宋体" w:hAnsi="宋体"/>
                <w:sz w:val="24"/>
                <w:u w:val="single"/>
              </w:rPr>
              <w:t>90</w:t>
            </w:r>
            <w:r>
              <w:rPr>
                <w:rFonts w:hint="eastAsia" w:ascii="宋体" w:hAnsi="宋体"/>
                <w:sz w:val="24"/>
              </w:rPr>
              <w:t>天</w:t>
            </w:r>
          </w:p>
        </w:tc>
      </w:tr>
    </w:tbl>
    <w:p>
      <w:pPr>
        <w:snapToGrid w:val="0"/>
        <w:spacing w:line="360" w:lineRule="auto"/>
        <w:ind w:left="238"/>
        <w:jc w:val="center"/>
        <w:rPr>
          <w:rFonts w:hAnsi="宋体"/>
          <w:b/>
          <w:sz w:val="28"/>
          <w:szCs w:val="28"/>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r>
        <w:rPr>
          <w:rFonts w:hint="eastAsia" w:hAnsi="宋体"/>
          <w:b/>
        </w:rPr>
        <w:t>一、</w:t>
      </w:r>
      <w:r>
        <w:rPr>
          <w:rFonts w:hAnsi="宋体"/>
          <w:b/>
        </w:rPr>
        <w:t>采购文件</w:t>
      </w:r>
    </w:p>
    <w:p>
      <w:pPr>
        <w:snapToGrid w:val="0"/>
        <w:spacing w:line="360" w:lineRule="auto"/>
        <w:ind w:firstLine="472" w:firstLineChars="196"/>
        <w:jc w:val="left"/>
        <w:rPr>
          <w:rFonts w:ascii="宋体" w:hAnsi="宋体"/>
          <w:b/>
          <w:sz w:val="24"/>
        </w:rPr>
      </w:pPr>
      <w:r>
        <w:rPr>
          <w:rFonts w:hint="eastAsia" w:ascii="宋体" w:hAnsi="宋体"/>
          <w:b/>
          <w:sz w:val="24"/>
        </w:rPr>
        <w:t>（一）采购文件的构成。本采购文件由以下部分组成：</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采购公告</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供应商须知</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办法</w:t>
      </w:r>
    </w:p>
    <w:p>
      <w:pPr>
        <w:snapToGrid w:val="0"/>
        <w:spacing w:line="360" w:lineRule="auto"/>
        <w:ind w:firstLine="480" w:firstLineChars="200"/>
        <w:jc w:val="left"/>
        <w:rPr>
          <w:rFonts w:ascii="宋体" w:hAnsi="宋体"/>
          <w:sz w:val="24"/>
        </w:rPr>
      </w:pPr>
      <w:r>
        <w:rPr>
          <w:rFonts w:hint="eastAsia" w:ascii="宋体" w:hAnsi="宋体"/>
          <w:sz w:val="24"/>
        </w:rPr>
        <w:t>4.采购内容及需求</w:t>
      </w:r>
    </w:p>
    <w:p>
      <w:pPr>
        <w:snapToGrid w:val="0"/>
        <w:spacing w:line="360" w:lineRule="auto"/>
        <w:ind w:firstLine="480" w:firstLineChars="200"/>
        <w:jc w:val="left"/>
        <w:rPr>
          <w:rFonts w:ascii="宋体" w:hAnsi="宋体"/>
          <w:sz w:val="24"/>
        </w:rPr>
      </w:pPr>
      <w:r>
        <w:rPr>
          <w:rFonts w:hint="eastAsia" w:ascii="宋体" w:hAnsi="宋体"/>
          <w:sz w:val="24"/>
        </w:rPr>
        <w:t>5.合</w:t>
      </w:r>
      <w:r>
        <w:rPr>
          <w:rFonts w:ascii="宋体" w:hAnsi="宋体"/>
          <w:sz w:val="24"/>
        </w:rPr>
        <w:t>同主要条款</w:t>
      </w:r>
    </w:p>
    <w:p>
      <w:pPr>
        <w:snapToGrid w:val="0"/>
        <w:spacing w:line="360" w:lineRule="auto"/>
        <w:ind w:firstLine="480" w:firstLineChars="200"/>
        <w:jc w:val="left"/>
        <w:rPr>
          <w:rFonts w:ascii="宋体" w:hAnsi="宋体"/>
          <w:sz w:val="24"/>
        </w:rPr>
      </w:pPr>
      <w:r>
        <w:rPr>
          <w:rFonts w:hint="eastAsia" w:ascii="宋体" w:hAnsi="宋体"/>
          <w:sz w:val="24"/>
        </w:rPr>
        <w:t>6.响应</w:t>
      </w:r>
      <w:r>
        <w:rPr>
          <w:rFonts w:ascii="宋体" w:hAnsi="宋体"/>
          <w:sz w:val="24"/>
        </w:rPr>
        <w:t>文件格式</w:t>
      </w:r>
    </w:p>
    <w:p>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采购文件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（二）供应商的风险</w:t>
      </w:r>
    </w:p>
    <w:p>
      <w:pPr>
        <w:pStyle w:val="29"/>
        <w:spacing w:line="360" w:lineRule="auto"/>
        <w:rPr>
          <w:rFonts w:ascii="宋体" w:eastAsia="宋体"/>
          <w:color w:val="auto"/>
        </w:rPr>
      </w:pPr>
      <w:r>
        <w:rPr>
          <w:rFonts w:hint="eastAsia" w:ascii="宋体" w:eastAsia="宋体"/>
          <w:color w:val="auto"/>
        </w:rPr>
        <w:t>供应商没有按照采购文件要求提供全部资料，或者供应商没有对采购文件在各方面作出实质性响应是供应商的风险，并可能导致其磋商被拒绝。</w:t>
      </w:r>
    </w:p>
    <w:p>
      <w:pPr>
        <w:pStyle w:val="10"/>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（三）采购文件的澄清与修改</w:t>
      </w:r>
      <w:r>
        <w:rPr>
          <w:rFonts w:ascii="宋体" w:hAnsi="宋体"/>
          <w:b/>
          <w:szCs w:val="24"/>
        </w:rPr>
        <w:t xml:space="preserve"> </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供应商应认真阅读本采购文件，发现其中有</w:t>
      </w:r>
      <w:r>
        <w:rPr>
          <w:rFonts w:hint="eastAsia" w:hAnsi="宋体"/>
        </w:rPr>
        <w:t>表述不清晰、前后矛盾等内容的</w:t>
      </w:r>
      <w:r>
        <w:rPr>
          <w:rFonts w:hAnsi="宋体"/>
          <w:bCs/>
        </w:rPr>
        <w:t>，供应商</w:t>
      </w:r>
      <w:r>
        <w:rPr>
          <w:rFonts w:hint="eastAsia" w:hAnsi="宋体"/>
          <w:bCs/>
        </w:rPr>
        <w:t>可以在</w:t>
      </w:r>
      <w:r>
        <w:rPr>
          <w:rFonts w:hint="eastAsia" w:hAnsi="宋体"/>
        </w:rPr>
        <w:t>响应文件递交截止日</w:t>
      </w:r>
      <w:r>
        <w:rPr>
          <w:rFonts w:hint="eastAsia" w:hAnsi="宋体"/>
          <w:u w:val="single"/>
        </w:rPr>
        <w:t xml:space="preserve"> 5 </w:t>
      </w:r>
      <w:r>
        <w:rPr>
          <w:rFonts w:hint="eastAsia" w:hAnsi="宋体"/>
        </w:rPr>
        <w:t>天前</w:t>
      </w:r>
      <w:r>
        <w:rPr>
          <w:rFonts w:hAnsi="宋体"/>
          <w:bCs/>
        </w:rPr>
        <w:t>以书面形式要求采购人澄清</w:t>
      </w:r>
      <w:r>
        <w:rPr>
          <w:rFonts w:hAnsi="宋体"/>
        </w:rPr>
        <w:t>。</w:t>
      </w:r>
      <w:r>
        <w:rPr>
          <w:rFonts w:hAnsi="宋体"/>
          <w:bCs/>
        </w:rPr>
        <w:t>采购人</w:t>
      </w:r>
      <w:r>
        <w:rPr>
          <w:rFonts w:hAnsi="宋体"/>
        </w:rPr>
        <w:t>对已发出的采购文件进行必要澄清、修改</w:t>
      </w:r>
      <w:r>
        <w:rPr>
          <w:rFonts w:hint="eastAsia" w:hAnsi="宋体" w:cs="Arial"/>
          <w:kern w:val="0"/>
        </w:rPr>
        <w:t>的，</w:t>
      </w:r>
      <w:r>
        <w:rPr>
          <w:rFonts w:hAnsi="宋体"/>
        </w:rPr>
        <w:t>应当在</w:t>
      </w:r>
      <w:r>
        <w:rPr>
          <w:rFonts w:hint="eastAsia" w:hAnsi="宋体"/>
        </w:rPr>
        <w:t>响应</w:t>
      </w:r>
      <w:r>
        <w:rPr>
          <w:rFonts w:hAnsi="宋体"/>
        </w:rPr>
        <w:t>截止时间</w:t>
      </w:r>
      <w:r>
        <w:rPr>
          <w:rFonts w:hint="eastAsia" w:hAnsi="宋体"/>
        </w:rPr>
        <w:t>5日</w:t>
      </w:r>
      <w:r>
        <w:rPr>
          <w:rFonts w:hAnsi="宋体"/>
        </w:rPr>
        <w:t>前，采购信息发布媒体上发布更正公告，并以书面形式通知所有采购文件收受人。</w:t>
      </w:r>
    </w:p>
    <w:p>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采购文件澄清、修改的内容为采购文件的组成部分。当采购文件与采购文件的澄清、修改通知就同一内容的表述不一致时，以最后发出的书面文件为准。</w:t>
      </w:r>
    </w:p>
    <w:p>
      <w:pPr>
        <w:pStyle w:val="20"/>
        <w:snapToGrid w:val="0"/>
        <w:spacing w:beforeLines="0" w:afterLines="0" w:line="360" w:lineRule="auto"/>
        <w:ind w:firstLine="472" w:firstLineChars="196"/>
        <w:outlineLvl w:val="1"/>
        <w:rPr>
          <w:rFonts w:hAnsi="宋体"/>
          <w:b/>
        </w:rPr>
      </w:pPr>
      <w:bookmarkStart w:id="38" w:name="_Toc74125980"/>
      <w:r>
        <w:rPr>
          <w:rFonts w:hint="eastAsia" w:hAnsi="宋体"/>
          <w:b/>
        </w:rPr>
        <w:t>二</w:t>
      </w:r>
      <w:r>
        <w:rPr>
          <w:rFonts w:hAnsi="宋体"/>
          <w:b/>
        </w:rPr>
        <w:t>、</w:t>
      </w:r>
      <w:r>
        <w:rPr>
          <w:rFonts w:hint="eastAsia" w:hAnsi="宋体"/>
          <w:b/>
        </w:rPr>
        <w:t>响应</w:t>
      </w:r>
      <w:r>
        <w:rPr>
          <w:rFonts w:hAnsi="宋体"/>
          <w:b/>
        </w:rPr>
        <w:t>文件的编制</w:t>
      </w:r>
      <w:bookmarkEnd w:id="38"/>
    </w:p>
    <w:p>
      <w:pPr>
        <w:snapToGrid w:val="0"/>
        <w:spacing w:line="360" w:lineRule="auto"/>
        <w:ind w:firstLine="472" w:firstLineChars="196"/>
        <w:jc w:val="left"/>
        <w:rPr>
          <w:rFonts w:ascii="宋体" w:hAnsi="宋体"/>
          <w:b/>
          <w:sz w:val="24"/>
          <w:highlight w:val="none"/>
        </w:rPr>
      </w:pPr>
      <w:r>
        <w:rPr>
          <w:rFonts w:hint="eastAsia" w:ascii="宋体" w:hAnsi="宋体"/>
          <w:b/>
          <w:sz w:val="24"/>
        </w:rPr>
        <w:t>（一）</w:t>
      </w:r>
      <w:r>
        <w:rPr>
          <w:rFonts w:hint="eastAsia" w:ascii="宋体" w:hAnsi="宋体"/>
          <w:b/>
          <w:sz w:val="24"/>
          <w:highlight w:val="none"/>
        </w:rPr>
        <w:t>响应文件的组成</w:t>
      </w:r>
    </w:p>
    <w:p>
      <w:pPr>
        <w:snapToGrid w:val="0"/>
        <w:spacing w:line="360" w:lineRule="auto"/>
        <w:ind w:firstLine="470" w:firstLineChars="196"/>
        <w:jc w:val="left"/>
        <w:rPr>
          <w:rFonts w:ascii="宋体" w:hAnsi="宋体"/>
          <w:sz w:val="24"/>
        </w:rPr>
      </w:pPr>
      <w:r>
        <w:rPr>
          <w:rFonts w:hint="eastAsia" w:ascii="宋体" w:hAnsi="宋体"/>
          <w:sz w:val="24"/>
        </w:rPr>
        <w:t>（1）磋商声明书；</w:t>
      </w:r>
    </w:p>
    <w:p>
      <w:pPr>
        <w:snapToGrid w:val="0"/>
        <w:spacing w:line="360" w:lineRule="auto"/>
        <w:ind w:firstLine="470" w:firstLineChars="196"/>
        <w:jc w:val="left"/>
        <w:rPr>
          <w:rFonts w:ascii="宋体" w:hAnsi="宋体"/>
          <w:sz w:val="24"/>
        </w:rPr>
      </w:pPr>
      <w:r>
        <w:rPr>
          <w:rFonts w:hint="eastAsia" w:ascii="宋体" w:hAnsi="宋体"/>
          <w:sz w:val="24"/>
        </w:rPr>
        <w:t xml:space="preserve">（2）磋商响应函（格式见第六章）； </w:t>
      </w:r>
    </w:p>
    <w:p>
      <w:pPr>
        <w:snapToGrid w:val="0"/>
        <w:spacing w:line="360" w:lineRule="auto"/>
        <w:ind w:firstLine="470" w:firstLineChars="196"/>
        <w:jc w:val="left"/>
        <w:rPr>
          <w:rFonts w:ascii="宋体" w:hAnsi="宋体"/>
          <w:sz w:val="24"/>
        </w:rPr>
      </w:pPr>
      <w:r>
        <w:rPr>
          <w:rFonts w:hint="eastAsia" w:ascii="宋体" w:hAnsi="宋体"/>
          <w:sz w:val="24"/>
        </w:rPr>
        <w:t>（3）法定代表人授权委托书(格式见第六章)；</w:t>
      </w:r>
    </w:p>
    <w:p>
      <w:pPr>
        <w:snapToGrid w:val="0"/>
        <w:spacing w:line="360" w:lineRule="auto"/>
        <w:ind w:firstLine="470" w:firstLineChars="196"/>
        <w:jc w:val="left"/>
        <w:rPr>
          <w:rFonts w:ascii="宋体" w:hAnsi="宋体"/>
          <w:sz w:val="24"/>
        </w:rPr>
      </w:pPr>
      <w:r>
        <w:rPr>
          <w:rFonts w:hint="eastAsia" w:ascii="宋体" w:hAnsi="宋体"/>
          <w:sz w:val="24"/>
        </w:rPr>
        <w:t>（4）报价一览表（格式见第六章）；</w:t>
      </w:r>
    </w:p>
    <w:p>
      <w:pPr>
        <w:snapToGrid w:val="0"/>
        <w:spacing w:line="360" w:lineRule="auto"/>
        <w:ind w:firstLine="470" w:firstLineChars="196"/>
        <w:jc w:val="left"/>
        <w:rPr>
          <w:rFonts w:ascii="宋体" w:hAnsi="宋体"/>
          <w:sz w:val="24"/>
        </w:rPr>
      </w:pPr>
      <w:r>
        <w:rPr>
          <w:rFonts w:hint="eastAsia" w:ascii="宋体" w:hAnsi="宋体"/>
          <w:sz w:val="24"/>
        </w:rPr>
        <w:t>（5）报价明细表（格式见第六章）；</w:t>
      </w:r>
    </w:p>
    <w:p>
      <w:pPr>
        <w:snapToGrid w:val="0"/>
        <w:spacing w:line="360" w:lineRule="auto"/>
        <w:ind w:firstLine="470" w:firstLineChars="196"/>
        <w:jc w:val="left"/>
        <w:rPr>
          <w:rFonts w:ascii="宋体" w:hAnsi="宋体"/>
          <w:sz w:val="24"/>
        </w:rPr>
      </w:pPr>
      <w:r>
        <w:rPr>
          <w:rFonts w:hint="eastAsia" w:ascii="宋体" w:hAnsi="宋体"/>
          <w:sz w:val="24"/>
        </w:rPr>
        <w:t>（6）资格证明材料：</w:t>
      </w:r>
    </w:p>
    <w:p>
      <w:pPr>
        <w:snapToGrid w:val="0"/>
        <w:spacing w:line="360" w:lineRule="auto"/>
        <w:ind w:firstLine="470" w:firstLineChars="196"/>
        <w:jc w:val="left"/>
        <w:rPr>
          <w:rFonts w:ascii="宋体" w:hAnsi="宋体"/>
          <w:sz w:val="24"/>
        </w:rPr>
      </w:pPr>
      <w:r>
        <w:rPr>
          <w:rFonts w:hint="eastAsia" w:ascii="宋体" w:hAnsi="宋体"/>
          <w:sz w:val="24"/>
        </w:rPr>
        <w:t>①法人或者其他组织的营业执照等证明文件，自然人的身份证明；</w:t>
      </w:r>
    </w:p>
    <w:p>
      <w:pPr>
        <w:snapToGrid w:val="0"/>
        <w:spacing w:line="360" w:lineRule="auto"/>
        <w:ind w:firstLine="470" w:firstLineChars="196"/>
        <w:jc w:val="left"/>
        <w:rPr>
          <w:rFonts w:ascii="宋体" w:hAnsi="宋体"/>
          <w:sz w:val="24"/>
        </w:rPr>
      </w:pPr>
      <w:r>
        <w:rPr>
          <w:rFonts w:hint="eastAsia" w:ascii="宋体" w:hAnsi="宋体"/>
          <w:sz w:val="24"/>
        </w:rPr>
        <w:t>②财务状况报告，依法缴纳税收和社会保障资金的相关材料；</w:t>
      </w:r>
    </w:p>
    <w:p>
      <w:pPr>
        <w:snapToGrid w:val="0"/>
        <w:spacing w:line="360" w:lineRule="auto"/>
        <w:ind w:firstLine="470" w:firstLineChars="196"/>
        <w:jc w:val="left"/>
        <w:rPr>
          <w:rFonts w:ascii="宋体" w:hAnsi="宋体"/>
          <w:sz w:val="24"/>
        </w:rPr>
      </w:pPr>
      <w:r>
        <w:rPr>
          <w:rFonts w:hint="eastAsia" w:ascii="宋体" w:hAnsi="宋体"/>
          <w:sz w:val="24"/>
        </w:rPr>
        <w:t>③具备履行合同所必需的设备和专业技术能力的证明材料。</w:t>
      </w:r>
    </w:p>
    <w:p>
      <w:pPr>
        <w:snapToGrid w:val="0"/>
        <w:spacing w:line="360" w:lineRule="auto"/>
        <w:ind w:firstLine="470" w:firstLineChars="196"/>
        <w:jc w:val="left"/>
        <w:rPr>
          <w:rFonts w:ascii="宋体" w:hAnsi="宋体"/>
          <w:sz w:val="24"/>
        </w:rPr>
      </w:pPr>
      <w:r>
        <w:rPr>
          <w:rFonts w:hint="eastAsia" w:ascii="宋体" w:hAnsi="宋体"/>
          <w:sz w:val="24"/>
        </w:rPr>
        <w:t>④磋商声明书(格式见第六章)；</w:t>
      </w:r>
    </w:p>
    <w:p>
      <w:pPr>
        <w:snapToGrid w:val="0"/>
        <w:spacing w:line="360" w:lineRule="auto"/>
        <w:ind w:firstLine="470" w:firstLineChars="196"/>
        <w:jc w:val="left"/>
        <w:rPr>
          <w:rFonts w:ascii="宋体" w:hAnsi="宋体"/>
          <w:sz w:val="24"/>
        </w:rPr>
      </w:pPr>
      <w:r>
        <w:rPr>
          <w:rFonts w:hint="eastAsia" w:ascii="宋体" w:hAnsi="宋体"/>
          <w:sz w:val="24"/>
        </w:rPr>
        <w:t>（7）供应商情况介绍；</w:t>
      </w:r>
    </w:p>
    <w:p>
      <w:pPr>
        <w:snapToGrid w:val="0"/>
        <w:spacing w:line="360" w:lineRule="auto"/>
        <w:ind w:firstLine="470" w:firstLineChars="196"/>
        <w:jc w:val="left"/>
        <w:rPr>
          <w:rFonts w:ascii="宋体" w:hAnsi="宋体"/>
          <w:sz w:val="24"/>
        </w:rPr>
      </w:pPr>
      <w:r>
        <w:rPr>
          <w:rFonts w:hint="eastAsia" w:ascii="宋体" w:hAnsi="宋体"/>
          <w:sz w:val="24"/>
        </w:rPr>
        <w:t>（8）商务响应表（格式见第六章）；</w:t>
      </w:r>
    </w:p>
    <w:p>
      <w:pPr>
        <w:snapToGrid w:val="0"/>
        <w:spacing w:line="360" w:lineRule="auto"/>
        <w:ind w:firstLine="470" w:firstLineChars="196"/>
        <w:jc w:val="left"/>
        <w:rPr>
          <w:rFonts w:ascii="宋体" w:hAnsi="宋体"/>
          <w:sz w:val="24"/>
        </w:rPr>
      </w:pPr>
      <w:r>
        <w:rPr>
          <w:rFonts w:hint="eastAsia" w:ascii="宋体" w:hAnsi="宋体"/>
          <w:sz w:val="24"/>
        </w:rPr>
        <w:t>（9）技术响应表（格式见第六章）；</w:t>
      </w:r>
    </w:p>
    <w:p>
      <w:pPr>
        <w:widowControl/>
        <w:snapToGrid w:val="0"/>
        <w:spacing w:line="360" w:lineRule="auto"/>
        <w:ind w:firstLine="470" w:firstLineChars="196"/>
        <w:jc w:val="left"/>
        <w:rPr>
          <w:rFonts w:ascii="宋体" w:hAnsi="宋体"/>
          <w:sz w:val="24"/>
        </w:rPr>
      </w:pPr>
      <w:r>
        <w:rPr>
          <w:rFonts w:hint="eastAsia" w:ascii="宋体" w:hAnsi="宋体"/>
          <w:sz w:val="24"/>
        </w:rPr>
        <w:t>（10）服务方案（包括清淤方案、安全保护措施、人员配备、拟投入的设备清单、详细的服务内容等）；</w:t>
      </w:r>
    </w:p>
    <w:p>
      <w:pPr>
        <w:widowControl/>
        <w:snapToGrid w:val="0"/>
        <w:spacing w:line="360" w:lineRule="auto"/>
        <w:ind w:firstLine="470" w:firstLineChars="196"/>
        <w:jc w:val="left"/>
        <w:rPr>
          <w:rFonts w:ascii="宋体" w:hAnsi="宋体"/>
          <w:sz w:val="24"/>
        </w:rPr>
      </w:pPr>
      <w:r>
        <w:rPr>
          <w:rFonts w:hint="eastAsia" w:ascii="宋体" w:hAnsi="宋体"/>
          <w:sz w:val="24"/>
        </w:rPr>
        <w:t>（11）针对本项目处理全过程管理的优化提升建议措施；</w:t>
      </w:r>
    </w:p>
    <w:p>
      <w:pPr>
        <w:widowControl/>
        <w:snapToGrid w:val="0"/>
        <w:spacing w:line="360" w:lineRule="auto"/>
        <w:ind w:firstLine="470" w:firstLineChars="196"/>
        <w:jc w:val="left"/>
        <w:rPr>
          <w:rFonts w:ascii="宋体" w:hAnsi="宋体"/>
          <w:sz w:val="24"/>
        </w:rPr>
      </w:pPr>
      <w:r>
        <w:rPr>
          <w:rFonts w:hint="eastAsia" w:ascii="宋体" w:hAnsi="宋体"/>
          <w:sz w:val="24"/>
        </w:rPr>
        <w:t>（12）项目实施期间确保污水处理达标排放的方案和保障措施；</w:t>
      </w:r>
    </w:p>
    <w:p>
      <w:pPr>
        <w:widowControl/>
        <w:snapToGrid w:val="0"/>
        <w:spacing w:line="360" w:lineRule="auto"/>
        <w:ind w:firstLine="470" w:firstLineChars="196"/>
        <w:jc w:val="left"/>
        <w:rPr>
          <w:rFonts w:ascii="宋体" w:hAnsi="宋体"/>
          <w:sz w:val="24"/>
        </w:rPr>
      </w:pPr>
      <w:r>
        <w:rPr>
          <w:rFonts w:hint="eastAsia" w:ascii="宋体" w:hAnsi="宋体"/>
          <w:sz w:val="24"/>
        </w:rPr>
        <w:t>（13）突发情况出现的应急预案；</w:t>
      </w:r>
    </w:p>
    <w:p>
      <w:pPr>
        <w:widowControl/>
        <w:snapToGrid w:val="0"/>
        <w:spacing w:line="360" w:lineRule="auto"/>
        <w:ind w:firstLine="470" w:firstLineChars="196"/>
        <w:jc w:val="left"/>
        <w:rPr>
          <w:rFonts w:ascii="宋体" w:hAnsi="宋体"/>
          <w:sz w:val="24"/>
        </w:rPr>
      </w:pPr>
      <w:r>
        <w:rPr>
          <w:rFonts w:hint="eastAsia" w:ascii="宋体" w:hAnsi="宋体"/>
          <w:sz w:val="24"/>
        </w:rPr>
        <w:t>（14）关于整体项目说明或承诺；</w:t>
      </w:r>
    </w:p>
    <w:p>
      <w:pPr>
        <w:widowControl/>
        <w:snapToGrid w:val="0"/>
        <w:spacing w:line="360" w:lineRule="auto"/>
        <w:ind w:firstLine="470" w:firstLineChars="196"/>
        <w:jc w:val="left"/>
        <w:rPr>
          <w:rFonts w:ascii="宋体" w:hAnsi="宋体"/>
          <w:sz w:val="24"/>
        </w:rPr>
      </w:pPr>
      <w:r>
        <w:rPr>
          <w:rFonts w:hint="eastAsia" w:ascii="宋体" w:hAnsi="宋体"/>
          <w:sz w:val="24"/>
        </w:rPr>
        <w:t>（15）更换相关设备清单；</w:t>
      </w:r>
    </w:p>
    <w:p>
      <w:pPr>
        <w:snapToGrid w:val="0"/>
        <w:spacing w:line="360" w:lineRule="auto"/>
        <w:ind w:firstLine="470" w:firstLineChars="196"/>
        <w:jc w:val="left"/>
        <w:rPr>
          <w:rFonts w:ascii="宋体" w:hAnsi="宋体"/>
          <w:sz w:val="24"/>
        </w:rPr>
      </w:pPr>
      <w:r>
        <w:rPr>
          <w:rFonts w:hint="eastAsia" w:ascii="宋体" w:hAnsi="宋体"/>
          <w:sz w:val="24"/>
        </w:rPr>
        <w:t>（16）同类项目业绩情况；</w:t>
      </w:r>
    </w:p>
    <w:p>
      <w:pPr>
        <w:snapToGrid w:val="0"/>
        <w:spacing w:line="360" w:lineRule="auto"/>
        <w:ind w:firstLine="470" w:firstLineChars="196"/>
        <w:jc w:val="left"/>
        <w:rPr>
          <w:rFonts w:ascii="宋体" w:hAnsi="宋体"/>
          <w:sz w:val="24"/>
        </w:rPr>
      </w:pPr>
      <w:r>
        <w:rPr>
          <w:rFonts w:hint="eastAsia" w:ascii="宋体" w:hAnsi="宋体"/>
          <w:sz w:val="24"/>
        </w:rPr>
        <w:t>（17）供应商认为需要提供其它技术资料；</w:t>
      </w:r>
    </w:p>
    <w:p>
      <w:pPr>
        <w:snapToGrid w:val="0"/>
        <w:spacing w:line="360" w:lineRule="auto"/>
        <w:ind w:firstLine="470" w:firstLineChars="196"/>
        <w:jc w:val="left"/>
        <w:rPr>
          <w:rFonts w:ascii="宋体" w:hAnsi="宋体"/>
          <w:sz w:val="24"/>
        </w:rPr>
      </w:pPr>
      <w:r>
        <w:rPr>
          <w:rFonts w:hint="eastAsia" w:ascii="宋体" w:hAnsi="宋体"/>
          <w:sz w:val="24"/>
        </w:rPr>
        <w:t>（18）其他与评审评分相关的证明材料、资料。</w:t>
      </w:r>
    </w:p>
    <w:p>
      <w:pPr>
        <w:pStyle w:val="20"/>
        <w:snapToGrid w:val="0"/>
        <w:spacing w:beforeLines="0" w:afterLines="0" w:line="360" w:lineRule="auto"/>
        <w:ind w:firstLine="482" w:firstLineChars="200"/>
        <w:rPr>
          <w:rFonts w:hAnsi="宋体"/>
          <w:b/>
        </w:rPr>
      </w:pPr>
      <w:r>
        <w:rPr>
          <w:rFonts w:hint="eastAsia" w:hAnsi="宋体"/>
          <w:b/>
        </w:rPr>
        <w:t>（二）响应文件的语言及计量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.响应</w:t>
      </w:r>
      <w:r>
        <w:rPr>
          <w:rFonts w:ascii="宋体" w:hAnsi="宋体"/>
          <w:sz w:val="24"/>
        </w:rPr>
        <w:t>文件以及</w:t>
      </w:r>
      <w:r>
        <w:rPr>
          <w:rFonts w:hint="eastAsia" w:ascii="宋体" w:hAnsi="宋体"/>
          <w:sz w:val="24"/>
        </w:rPr>
        <w:t>供应商</w:t>
      </w:r>
      <w:r>
        <w:rPr>
          <w:rFonts w:ascii="宋体" w:hAnsi="宋体"/>
          <w:sz w:val="24"/>
        </w:rPr>
        <w:t>与</w:t>
      </w:r>
      <w:r>
        <w:rPr>
          <w:rFonts w:hint="eastAsia" w:ascii="宋体" w:hAnsi="宋体"/>
          <w:sz w:val="24"/>
        </w:rPr>
        <w:t>采购</w:t>
      </w:r>
      <w:r>
        <w:rPr>
          <w:rFonts w:ascii="宋体" w:hAnsi="宋体"/>
          <w:sz w:val="24"/>
        </w:rPr>
        <w:t>方就有关事宜的所有来往函电，均应以中文汉语书写。除签名、盖章、专用名称等特殊情形外，以中文汉语以外的文字表述的响应文件视同未提供。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（三）磋商报价</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报价应按采购文件中相关附表格式填写</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2.具体详见“第二章 供应商须知 前附表”。</w:t>
      </w:r>
    </w:p>
    <w:p>
      <w:pPr>
        <w:pStyle w:val="10"/>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（四）响应文件的有效期</w:t>
      </w:r>
    </w:p>
    <w:p>
      <w:pPr>
        <w:pStyle w:val="10"/>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w:t>
      </w:r>
      <w:r>
        <w:rPr>
          <w:rFonts w:hint="eastAsia" w:ascii="宋体" w:hAnsi="宋体"/>
          <w:szCs w:val="24"/>
        </w:rPr>
        <w:t>响应文件提交截止时间</w:t>
      </w:r>
      <w:r>
        <w:rPr>
          <w:rFonts w:ascii="宋体" w:hAnsi="宋体"/>
          <w:szCs w:val="24"/>
        </w:rPr>
        <w:t>起</w:t>
      </w:r>
      <w:r>
        <w:rPr>
          <w:rFonts w:hint="eastAsia" w:ascii="宋体" w:hAnsi="宋体"/>
          <w:szCs w:val="24"/>
          <w:u w:val="single"/>
        </w:rPr>
        <w:t xml:space="preserve"> 90 </w:t>
      </w:r>
      <w:r>
        <w:rPr>
          <w:rFonts w:ascii="宋体" w:hAnsi="宋体"/>
          <w:szCs w:val="24"/>
        </w:rPr>
        <w:t>天</w:t>
      </w:r>
      <w:r>
        <w:rPr>
          <w:rFonts w:hint="eastAsia" w:ascii="宋体" w:hAnsi="宋体"/>
          <w:szCs w:val="24"/>
        </w:rPr>
        <w:t>内响应文件</w:t>
      </w:r>
      <w:r>
        <w:rPr>
          <w:rFonts w:ascii="宋体" w:hAnsi="宋体"/>
          <w:szCs w:val="24"/>
        </w:rPr>
        <w:t>应保持有效。有效期</w:t>
      </w:r>
      <w:r>
        <w:rPr>
          <w:rFonts w:hint="eastAsia" w:ascii="宋体" w:hAnsi="宋体"/>
          <w:szCs w:val="24"/>
        </w:rPr>
        <w:t>不足</w:t>
      </w:r>
      <w:r>
        <w:rPr>
          <w:rFonts w:ascii="宋体" w:hAnsi="宋体"/>
          <w:szCs w:val="24"/>
        </w:rPr>
        <w:t>的</w:t>
      </w:r>
      <w:r>
        <w:rPr>
          <w:rFonts w:hint="eastAsia" w:ascii="宋体" w:hAnsi="宋体"/>
          <w:szCs w:val="24"/>
        </w:rPr>
        <w:t>响应文件</w:t>
      </w:r>
      <w:r>
        <w:rPr>
          <w:rFonts w:ascii="宋体" w:hAnsi="宋体"/>
          <w:szCs w:val="24"/>
        </w:rPr>
        <w:t>将被</w:t>
      </w:r>
      <w:r>
        <w:rPr>
          <w:rFonts w:hint="eastAsia" w:ascii="宋体" w:hAnsi="宋体"/>
          <w:szCs w:val="24"/>
        </w:rPr>
        <w:t>视为无效</w:t>
      </w:r>
      <w:r>
        <w:rPr>
          <w:rFonts w:ascii="宋体" w:hAnsi="宋体"/>
          <w:szCs w:val="24"/>
        </w:rPr>
        <w:t>。</w:t>
      </w:r>
    </w:p>
    <w:p>
      <w:pPr>
        <w:pStyle w:val="10"/>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w:t>
      </w:r>
      <w:r>
        <w:rPr>
          <w:rFonts w:hint="eastAsia" w:ascii="宋体" w:hAnsi="宋体"/>
          <w:szCs w:val="24"/>
        </w:rPr>
        <w:t>采购</w:t>
      </w:r>
      <w:r>
        <w:rPr>
          <w:rFonts w:ascii="宋体" w:hAnsi="宋体"/>
          <w:szCs w:val="24"/>
        </w:rPr>
        <w:t>人可与供应商协商延长</w:t>
      </w:r>
      <w:r>
        <w:rPr>
          <w:rFonts w:hint="eastAsia" w:ascii="宋体" w:hAnsi="宋体"/>
          <w:szCs w:val="24"/>
        </w:rPr>
        <w:t>响应文件</w:t>
      </w:r>
      <w:r>
        <w:rPr>
          <w:rFonts w:ascii="宋体" w:hAnsi="宋体"/>
          <w:szCs w:val="24"/>
        </w:rPr>
        <w:t>的有效期，这种要求和答复均以书面形式进行。</w:t>
      </w:r>
    </w:p>
    <w:p>
      <w:pPr>
        <w:snapToGrid w:val="0"/>
        <w:spacing w:line="360" w:lineRule="auto"/>
        <w:ind w:firstLine="480" w:firstLineChars="200"/>
        <w:jc w:val="left"/>
        <w:rPr>
          <w:rFonts w:ascii="宋体" w:hAnsi="宋体"/>
          <w:b/>
          <w:sz w:val="24"/>
        </w:rPr>
      </w:pPr>
      <w:r>
        <w:rPr>
          <w:rFonts w:ascii="宋体" w:hAnsi="宋体"/>
          <w:sz w:val="24"/>
        </w:rPr>
        <w:t>3</w:t>
      </w:r>
      <w:r>
        <w:rPr>
          <w:rFonts w:hint="eastAsia" w:ascii="宋体" w:hAnsi="宋体"/>
          <w:sz w:val="24"/>
        </w:rPr>
        <w:t>.成交供应商</w:t>
      </w:r>
      <w:r>
        <w:rPr>
          <w:rFonts w:ascii="宋体" w:hAnsi="宋体"/>
          <w:sz w:val="24"/>
        </w:rPr>
        <w:t>的</w:t>
      </w:r>
      <w:r>
        <w:rPr>
          <w:rFonts w:hint="eastAsia" w:ascii="宋体" w:hAnsi="宋体"/>
          <w:sz w:val="24"/>
        </w:rPr>
        <w:t>响应</w:t>
      </w:r>
      <w:r>
        <w:rPr>
          <w:rFonts w:ascii="宋体" w:hAnsi="宋体"/>
          <w:sz w:val="24"/>
        </w:rPr>
        <w:t>文件自</w:t>
      </w:r>
      <w:r>
        <w:rPr>
          <w:rFonts w:hint="eastAsia" w:ascii="宋体" w:hAnsi="宋体"/>
          <w:sz w:val="24"/>
        </w:rPr>
        <w:t>磋商</w:t>
      </w:r>
      <w:r>
        <w:rPr>
          <w:rFonts w:ascii="宋体" w:hAnsi="宋体"/>
          <w:sz w:val="24"/>
        </w:rPr>
        <w:t>之日起至合同履行完毕止均应保持有效。</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（五）磋商保证金</w:t>
      </w:r>
    </w:p>
    <w:p>
      <w:pPr>
        <w:snapToGrid w:val="0"/>
        <w:spacing w:line="360" w:lineRule="auto"/>
        <w:ind w:firstLine="470" w:firstLineChars="196"/>
        <w:jc w:val="left"/>
        <w:rPr>
          <w:rFonts w:ascii="宋体" w:hAnsi="宋体"/>
          <w:sz w:val="24"/>
        </w:rPr>
      </w:pPr>
      <w:r>
        <w:rPr>
          <w:rFonts w:hint="eastAsia" w:ascii="宋体" w:hAnsi="宋体"/>
          <w:sz w:val="24"/>
        </w:rPr>
        <w:t>无</w:t>
      </w:r>
    </w:p>
    <w:p>
      <w:pPr>
        <w:snapToGrid w:val="0"/>
        <w:spacing w:line="360" w:lineRule="auto"/>
        <w:ind w:firstLine="472" w:firstLineChars="196"/>
        <w:jc w:val="left"/>
        <w:rPr>
          <w:rFonts w:ascii="宋体" w:hAnsi="宋体"/>
          <w:b/>
          <w:sz w:val="24"/>
        </w:rPr>
      </w:pPr>
      <w:r>
        <w:rPr>
          <w:rFonts w:hint="eastAsia" w:ascii="宋体" w:hAnsi="宋体"/>
          <w:b/>
          <w:sz w:val="24"/>
        </w:rPr>
        <w:t>（六）响应文件的装订、签署和份数</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供应商应</w:t>
      </w:r>
      <w:r>
        <w:rPr>
          <w:rFonts w:hint="eastAsia" w:ascii="宋体" w:hAnsi="宋体"/>
          <w:sz w:val="24"/>
        </w:rPr>
        <w:t>按</w:t>
      </w:r>
      <w:r>
        <w:rPr>
          <w:rFonts w:ascii="宋体" w:hAnsi="宋体"/>
          <w:sz w:val="24"/>
        </w:rPr>
        <w:t>本采购文件规定的格式和顺序编制、装订响应文件</w:t>
      </w:r>
      <w:r>
        <w:rPr>
          <w:rFonts w:hint="eastAsia" w:ascii="宋体" w:hAnsi="宋体"/>
          <w:sz w:val="24"/>
        </w:rPr>
        <w:t>并标注页码</w:t>
      </w:r>
      <w:r>
        <w:rPr>
          <w:rFonts w:ascii="宋体" w:hAnsi="宋体"/>
          <w:sz w:val="24"/>
        </w:rPr>
        <w:t>，响应文件内容不完整、编排混乱导致响应文件被误读、漏读或者查找不到相关内容的，是供应商的责任。</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.响应文件文件正本1份，副本2份，装订成册，响应文件的封面应注明“正本”、“副本”字样。</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响应文件的正本需打印或用不褪色的墨水填写，副本为正本的复印件。</w:t>
      </w:r>
    </w:p>
    <w:p>
      <w:pPr>
        <w:snapToGrid w:val="0"/>
        <w:spacing w:line="360" w:lineRule="auto"/>
        <w:ind w:firstLine="480" w:firstLineChars="200"/>
        <w:jc w:val="left"/>
        <w:rPr>
          <w:rFonts w:ascii="宋体" w:hAnsi="宋体"/>
          <w:b/>
          <w:bCs/>
          <w:sz w:val="24"/>
        </w:rPr>
      </w:pPr>
      <w:r>
        <w:rPr>
          <w:rFonts w:ascii="宋体" w:hAnsi="宋体"/>
          <w:sz w:val="24"/>
        </w:rPr>
        <w:t>4</w:t>
      </w:r>
      <w:r>
        <w:rPr>
          <w:rFonts w:hint="eastAsia" w:ascii="宋体" w:hAnsi="宋体"/>
          <w:sz w:val="24"/>
        </w:rPr>
        <w:t>.</w:t>
      </w:r>
      <w:r>
        <w:rPr>
          <w:rFonts w:ascii="宋体" w:hAnsi="宋体"/>
          <w:sz w:val="24"/>
        </w:rPr>
        <w:t>响应文件须由供应商在规定位置盖章并由法定代表人或法定代表</w:t>
      </w:r>
      <w:r>
        <w:rPr>
          <w:rFonts w:hint="eastAsia" w:ascii="宋体" w:hAnsi="宋体"/>
          <w:sz w:val="24"/>
        </w:rPr>
        <w:t>人的</w:t>
      </w:r>
      <w:r>
        <w:rPr>
          <w:rFonts w:ascii="宋体" w:hAnsi="宋体"/>
          <w:sz w:val="24"/>
        </w:rPr>
        <w:t>授权</w:t>
      </w:r>
      <w:r>
        <w:rPr>
          <w:rFonts w:hint="eastAsia" w:ascii="宋体" w:hAnsi="宋体"/>
          <w:b/>
          <w:bCs/>
          <w:sz w:val="24"/>
        </w:rPr>
        <w:t>委托</w:t>
      </w:r>
      <w:r>
        <w:rPr>
          <w:rFonts w:ascii="宋体" w:hAnsi="宋体"/>
          <w:b/>
          <w:bCs/>
          <w:sz w:val="24"/>
        </w:rPr>
        <w:t>人签署，供应商应写全称。</w:t>
      </w:r>
    </w:p>
    <w:p>
      <w:pPr>
        <w:snapToGrid w:val="0"/>
        <w:spacing w:line="360" w:lineRule="auto"/>
        <w:ind w:firstLine="482" w:firstLineChars="200"/>
        <w:jc w:val="left"/>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360" w:lineRule="auto"/>
        <w:ind w:firstLine="354" w:firstLineChars="147"/>
        <w:jc w:val="left"/>
        <w:rPr>
          <w:rFonts w:ascii="宋体" w:hAnsi="宋体"/>
          <w:b/>
          <w:sz w:val="24"/>
        </w:rPr>
      </w:pPr>
      <w:r>
        <w:rPr>
          <w:rFonts w:hint="eastAsia" w:ascii="宋体" w:hAnsi="宋体"/>
          <w:b/>
          <w:bCs/>
          <w:sz w:val="24"/>
        </w:rPr>
        <w:t>（七</w:t>
      </w:r>
      <w:r>
        <w:rPr>
          <w:rFonts w:hint="eastAsia" w:ascii="宋体" w:hAnsi="宋体"/>
          <w:b/>
          <w:sz w:val="24"/>
        </w:rPr>
        <w:t>）响应文件的包装、递交、修改和撤回</w:t>
      </w:r>
    </w:p>
    <w:p>
      <w:pPr>
        <w:snapToGrid w:val="0"/>
        <w:spacing w:line="360" w:lineRule="auto"/>
        <w:ind w:firstLine="420"/>
        <w:jc w:val="left"/>
        <w:rPr>
          <w:rFonts w:ascii="宋体" w:hAnsi="宋体"/>
          <w:sz w:val="24"/>
        </w:rPr>
      </w:pPr>
      <w:r>
        <w:rPr>
          <w:rFonts w:hint="eastAsia" w:ascii="宋体" w:hAnsi="宋体"/>
          <w:sz w:val="24"/>
        </w:rPr>
        <w:t>1.供应商应密封封装响应文件。响应文件的包装封面上应注明供应商名称、供应商地址、响应文件名称、项目名称、项目编号及“在</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分之前不得启封”字样，并加盖供应商公章。</w:t>
      </w:r>
    </w:p>
    <w:p>
      <w:pPr>
        <w:snapToGrid w:val="0"/>
        <w:spacing w:line="360" w:lineRule="auto"/>
        <w:ind w:firstLine="420"/>
        <w:jc w:val="left"/>
        <w:rPr>
          <w:rFonts w:ascii="宋体" w:hAnsi="宋体"/>
          <w:sz w:val="24"/>
        </w:rPr>
      </w:pPr>
      <w:r>
        <w:rPr>
          <w:rFonts w:hint="eastAsia" w:ascii="宋体" w:hAnsi="宋体"/>
          <w:sz w:val="24"/>
        </w:rPr>
        <w:t>2.供应商在响应截止时间之前，可以对已提交的响应文件进行修改或撤回；响应截止时间后，供应商不得撤回、修改响应文件。修改后重新递交的响应文件应当按本采购文件的要求签署、盖章和密封。</w:t>
      </w:r>
    </w:p>
    <w:p>
      <w:pPr>
        <w:pStyle w:val="16"/>
        <w:snapToGrid w:val="0"/>
        <w:spacing w:line="360" w:lineRule="auto"/>
        <w:ind w:firstLine="457" w:firstLineChars="196"/>
        <w:outlineLvl w:val="1"/>
        <w:rPr>
          <w:rFonts w:hAnsi="宋体"/>
          <w:b/>
          <w:snapToGrid w:val="0"/>
          <w:sz w:val="24"/>
          <w:szCs w:val="24"/>
        </w:rPr>
      </w:pPr>
      <w:bookmarkStart w:id="39" w:name="_Toc74125981"/>
      <w:r>
        <w:rPr>
          <w:rFonts w:hint="eastAsia" w:hAnsi="宋体"/>
          <w:b/>
          <w:sz w:val="24"/>
          <w:szCs w:val="24"/>
        </w:rPr>
        <w:t>三、磋商</w:t>
      </w:r>
      <w:bookmarkEnd w:id="39"/>
    </w:p>
    <w:p>
      <w:pPr>
        <w:pStyle w:val="20"/>
        <w:snapToGrid w:val="0"/>
        <w:spacing w:beforeLines="0" w:afterLines="0" w:line="360" w:lineRule="auto"/>
        <w:ind w:firstLine="472" w:firstLineChars="196"/>
        <w:rPr>
          <w:rFonts w:hAnsi="宋体"/>
          <w:b/>
        </w:rPr>
      </w:pPr>
      <w:r>
        <w:rPr>
          <w:rFonts w:hAnsi="宋体"/>
          <w:b/>
        </w:rPr>
        <w:t>（一）</w:t>
      </w:r>
      <w:r>
        <w:rPr>
          <w:rFonts w:hint="eastAsia" w:hAnsi="宋体"/>
          <w:b/>
        </w:rPr>
        <w:t>接收响应文件</w:t>
      </w:r>
    </w:p>
    <w:p>
      <w:pPr>
        <w:snapToGrid w:val="0"/>
        <w:spacing w:line="360" w:lineRule="auto"/>
        <w:ind w:firstLine="420"/>
        <w:jc w:val="left"/>
        <w:rPr>
          <w:rFonts w:ascii="宋体" w:hAnsi="宋体"/>
          <w:sz w:val="24"/>
        </w:rPr>
      </w:pPr>
      <w:r>
        <w:rPr>
          <w:rFonts w:hint="eastAsia" w:ascii="宋体" w:hAnsi="宋体"/>
          <w:sz w:val="24"/>
        </w:rPr>
        <w:t>1.采购人</w:t>
      </w:r>
      <w:r>
        <w:rPr>
          <w:rFonts w:ascii="宋体" w:hAnsi="宋体"/>
          <w:sz w:val="24"/>
        </w:rPr>
        <w:t>按照采购文件规定的时间、地点</w:t>
      </w:r>
      <w:r>
        <w:rPr>
          <w:rFonts w:hint="eastAsia" w:ascii="宋体" w:hAnsi="宋体"/>
          <w:sz w:val="24"/>
        </w:rPr>
        <w:t>接收响应文件。</w:t>
      </w:r>
    </w:p>
    <w:p>
      <w:pPr>
        <w:snapToGrid w:val="0"/>
        <w:spacing w:line="360" w:lineRule="auto"/>
        <w:ind w:firstLine="420"/>
        <w:jc w:val="left"/>
        <w:rPr>
          <w:rFonts w:ascii="宋体" w:hAnsi="宋体"/>
          <w:sz w:val="24"/>
        </w:rPr>
      </w:pPr>
      <w:r>
        <w:rPr>
          <w:rFonts w:hint="eastAsia" w:ascii="宋体" w:hAnsi="宋体"/>
          <w:sz w:val="24"/>
        </w:rPr>
        <w:t>2.供应商应在采购文件规定的响应文件递交截止时间前提交响应文件。逾期送达的或者未送达指定地点的响应文件，采购人将不予接收。</w:t>
      </w:r>
    </w:p>
    <w:p>
      <w:pPr>
        <w:snapToGrid w:val="0"/>
        <w:spacing w:line="360" w:lineRule="auto"/>
        <w:ind w:firstLine="420"/>
        <w:jc w:val="left"/>
        <w:rPr>
          <w:rFonts w:ascii="宋体" w:hAnsi="宋体"/>
          <w:sz w:val="24"/>
        </w:rPr>
      </w:pPr>
      <w:r>
        <w:rPr>
          <w:rFonts w:hint="eastAsia" w:ascii="宋体" w:hAnsi="宋体"/>
          <w:sz w:val="24"/>
        </w:rPr>
        <w:t>3.响应文件递交截止时间后参加磋商的供应商不足三家的，按照相关规定执行。</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二</w:t>
      </w:r>
      <w:r>
        <w:rPr>
          <w:rFonts w:hAnsi="宋体"/>
          <w:b/>
        </w:rPr>
        <w:t>）</w:t>
      </w:r>
      <w:r>
        <w:rPr>
          <w:rFonts w:hint="eastAsia" w:hAnsi="宋体"/>
          <w:b/>
        </w:rPr>
        <w:t>磋商</w:t>
      </w:r>
      <w:r>
        <w:rPr>
          <w:rFonts w:hAnsi="宋体"/>
          <w:b/>
        </w:rPr>
        <w:t>程序</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评审小组所有成员认真阅读</w:t>
      </w:r>
      <w:r>
        <w:rPr>
          <w:rFonts w:hint="eastAsia" w:ascii="宋体" w:hAnsi="宋体"/>
          <w:sz w:val="24"/>
        </w:rPr>
        <w:t>采购</w:t>
      </w:r>
      <w:r>
        <w:rPr>
          <w:rFonts w:ascii="宋体" w:hAnsi="宋体"/>
          <w:sz w:val="24"/>
        </w:rPr>
        <w:t>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磋商小组所有成员集中与单一供应商分别进行磋商，并给予所有参加磋商的供应商平等的磋商机会。</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磋商小组</w:t>
      </w:r>
      <w:r>
        <w:rPr>
          <w:rFonts w:hint="eastAsia" w:ascii="宋体" w:hAnsi="宋体"/>
          <w:sz w:val="24"/>
        </w:rPr>
        <w:t>可以</w:t>
      </w:r>
      <w:r>
        <w:rPr>
          <w:rFonts w:ascii="宋体" w:hAnsi="宋体"/>
          <w:sz w:val="24"/>
        </w:rPr>
        <w:t>根据与供应商磋商情况</w:t>
      </w:r>
      <w:r>
        <w:rPr>
          <w:rFonts w:hint="eastAsia" w:ascii="宋体" w:hAnsi="宋体"/>
          <w:sz w:val="24"/>
        </w:rPr>
        <w:t>对</w:t>
      </w:r>
      <w:r>
        <w:rPr>
          <w:rFonts w:ascii="宋体" w:hAnsi="宋体"/>
          <w:sz w:val="24"/>
        </w:rPr>
        <w:t>采购需求中的技术、服务要求以及合同草案条款</w:t>
      </w:r>
      <w:r>
        <w:rPr>
          <w:rFonts w:hint="eastAsia" w:ascii="宋体" w:hAnsi="宋体"/>
          <w:sz w:val="24"/>
        </w:rPr>
        <w:t>作出</w:t>
      </w:r>
      <w:r>
        <w:rPr>
          <w:rFonts w:ascii="宋体" w:hAnsi="宋体"/>
          <w:sz w:val="24"/>
        </w:rPr>
        <w:t>实质性变动。</w:t>
      </w:r>
    </w:p>
    <w:p>
      <w:pPr>
        <w:snapToGrid w:val="0"/>
        <w:spacing w:line="360" w:lineRule="auto"/>
        <w:ind w:firstLine="480" w:firstLineChars="200"/>
        <w:rPr>
          <w:rFonts w:ascii="宋体" w:hAnsi="宋体"/>
          <w:sz w:val="24"/>
        </w:rPr>
      </w:pPr>
      <w:r>
        <w:rPr>
          <w:rFonts w:hint="eastAsia" w:ascii="宋体" w:hAnsi="宋体"/>
          <w:sz w:val="24"/>
        </w:rPr>
        <w:t>4.作出</w:t>
      </w:r>
      <w:r>
        <w:rPr>
          <w:rFonts w:ascii="宋体" w:hAnsi="宋体"/>
          <w:sz w:val="24"/>
        </w:rPr>
        <w:t>实质性变动</w:t>
      </w:r>
      <w:r>
        <w:rPr>
          <w:rFonts w:hint="eastAsia" w:ascii="宋体" w:hAnsi="宋体"/>
          <w:sz w:val="24"/>
        </w:rPr>
        <w:t>的，</w:t>
      </w:r>
      <w:r>
        <w:rPr>
          <w:rFonts w:ascii="宋体" w:hAnsi="宋体"/>
          <w:sz w:val="24"/>
        </w:rPr>
        <w:t>磋商小组应当同时通知所有参加磋商的供应商。</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供应商应当按照</w:t>
      </w:r>
      <w:r>
        <w:rPr>
          <w:rFonts w:hint="eastAsia" w:ascii="宋体" w:hAnsi="宋体"/>
          <w:sz w:val="24"/>
        </w:rPr>
        <w:t>采购</w:t>
      </w:r>
      <w:r>
        <w:rPr>
          <w:rFonts w:ascii="宋体" w:hAnsi="宋体"/>
          <w:sz w:val="24"/>
        </w:rPr>
        <w:t>文件的变动情况和磋商小组的要求</w:t>
      </w:r>
      <w:r>
        <w:rPr>
          <w:rFonts w:hint="eastAsia" w:ascii="宋体" w:hAnsi="宋体"/>
          <w:sz w:val="24"/>
        </w:rPr>
        <w:t>作出书面响应或</w:t>
      </w:r>
      <w:r>
        <w:rPr>
          <w:rFonts w:ascii="宋体" w:hAnsi="宋体"/>
          <w:sz w:val="24"/>
        </w:rPr>
        <w:t>重新提交响应文件。</w:t>
      </w:r>
    </w:p>
    <w:p>
      <w:pPr>
        <w:snapToGrid w:val="0"/>
        <w:spacing w:line="360" w:lineRule="auto"/>
        <w:ind w:firstLine="480" w:firstLineChars="200"/>
        <w:rPr>
          <w:rFonts w:ascii="宋体" w:hAnsi="宋体" w:cs="Arial"/>
          <w:kern w:val="0"/>
          <w:sz w:val="24"/>
        </w:rPr>
      </w:pPr>
      <w:r>
        <w:rPr>
          <w:rFonts w:hint="eastAsia" w:ascii="宋体" w:hAnsi="宋体"/>
          <w:sz w:val="24"/>
        </w:rPr>
        <w:t>6.</w:t>
      </w:r>
      <w:r>
        <w:rPr>
          <w:rFonts w:hint="eastAsia" w:ascii="宋体" w:hAnsi="宋体" w:cs="Arial"/>
          <w:kern w:val="0"/>
          <w:sz w:val="24"/>
        </w:rPr>
        <w:t>磋商</w:t>
      </w:r>
      <w:r>
        <w:rPr>
          <w:rFonts w:ascii="宋体" w:hAnsi="宋体" w:cs="Arial"/>
          <w:kern w:val="0"/>
          <w:sz w:val="24"/>
        </w:rPr>
        <w:t>结束后，</w:t>
      </w:r>
      <w:r>
        <w:rPr>
          <w:rFonts w:hint="eastAsia" w:ascii="宋体" w:hAnsi="宋体" w:cs="Arial"/>
          <w:kern w:val="0"/>
          <w:sz w:val="24"/>
        </w:rPr>
        <w:t>评审</w:t>
      </w:r>
      <w:r>
        <w:rPr>
          <w:rFonts w:ascii="宋体" w:hAnsi="宋体" w:cs="Arial"/>
          <w:kern w:val="0"/>
          <w:sz w:val="24"/>
        </w:rPr>
        <w:t>小组应当要求</w:t>
      </w:r>
      <w:r>
        <w:rPr>
          <w:rFonts w:hint="eastAsia" w:ascii="宋体" w:hAnsi="宋体"/>
          <w:sz w:val="24"/>
        </w:rPr>
        <w:t>实质上响应采购文件要求的</w:t>
      </w:r>
      <w:r>
        <w:rPr>
          <w:rFonts w:ascii="宋体" w:hAnsi="宋体" w:cs="Arial"/>
          <w:kern w:val="0"/>
          <w:sz w:val="24"/>
        </w:rPr>
        <w:t>供应商在规定时间内提交最后报价</w:t>
      </w:r>
      <w:r>
        <w:rPr>
          <w:rFonts w:hint="eastAsia" w:ascii="宋体" w:hAnsi="宋体" w:cs="Arial"/>
          <w:kern w:val="0"/>
          <w:sz w:val="24"/>
        </w:rPr>
        <w:t>。</w:t>
      </w:r>
    </w:p>
    <w:p>
      <w:pPr>
        <w:snapToGrid w:val="0"/>
        <w:spacing w:line="360" w:lineRule="auto"/>
        <w:ind w:firstLine="480" w:firstLineChars="200"/>
        <w:rPr>
          <w:rFonts w:ascii="宋体" w:hAnsi="宋体" w:cs="Arial"/>
          <w:kern w:val="0"/>
          <w:sz w:val="24"/>
        </w:rPr>
      </w:pPr>
      <w:r>
        <w:rPr>
          <w:rFonts w:hint="eastAsia" w:ascii="宋体" w:hAnsi="宋体"/>
          <w:sz w:val="24"/>
        </w:rPr>
        <w:t>7.提交</w:t>
      </w:r>
      <w:r>
        <w:rPr>
          <w:rFonts w:ascii="宋体" w:hAnsi="宋体" w:cs="Arial"/>
          <w:kern w:val="0"/>
          <w:sz w:val="24"/>
        </w:rPr>
        <w:t>最后报价</w:t>
      </w:r>
      <w:r>
        <w:rPr>
          <w:rFonts w:hint="eastAsia" w:ascii="宋体" w:hAnsi="宋体" w:cs="Arial"/>
          <w:kern w:val="0"/>
          <w:sz w:val="24"/>
        </w:rPr>
        <w:t>的</w:t>
      </w:r>
      <w:r>
        <w:rPr>
          <w:rFonts w:hint="eastAsia" w:ascii="宋体" w:hAnsi="宋体"/>
          <w:bCs/>
          <w:sz w:val="24"/>
        </w:rPr>
        <w:t>供应商不足三家的，按照相关规定执行。</w:t>
      </w:r>
    </w:p>
    <w:p>
      <w:pPr>
        <w:snapToGrid w:val="0"/>
        <w:spacing w:line="360" w:lineRule="auto"/>
        <w:ind w:firstLine="482" w:firstLineChars="200"/>
        <w:rPr>
          <w:rFonts w:ascii="宋体" w:hAnsi="宋体"/>
          <w:b/>
          <w:sz w:val="24"/>
        </w:rPr>
      </w:pPr>
      <w:r>
        <w:rPr>
          <w:rFonts w:hint="eastAsia" w:ascii="宋体" w:hAnsi="宋体"/>
          <w:b/>
          <w:sz w:val="24"/>
        </w:rPr>
        <w:t>（三）澄清问题的形式</w:t>
      </w:r>
    </w:p>
    <w:p>
      <w:pPr>
        <w:snapToGrid w:val="0"/>
        <w:spacing w:line="360" w:lineRule="auto"/>
        <w:ind w:firstLine="480" w:firstLineChars="200"/>
        <w:rPr>
          <w:rFonts w:ascii="宋体" w:hAnsi="宋体"/>
          <w:sz w:val="24"/>
        </w:rPr>
      </w:pPr>
      <w:r>
        <w:rPr>
          <w:rFonts w:hint="eastAsia" w:ascii="宋体" w:hAnsi="宋体"/>
          <w:sz w:val="24"/>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四</w:t>
      </w:r>
      <w:r>
        <w:rPr>
          <w:rFonts w:hAnsi="宋体"/>
          <w:b/>
        </w:rPr>
        <w:t>）错误修正</w:t>
      </w:r>
    </w:p>
    <w:p>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.报价一览表总价与报价明细表汇总数不一致的，以报价一览表为准；</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响应文件的大写金额和小写金额不一致的，以大写金额为准；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.单价金额小数点或百分比有明显错位的，以总价为准，并修改单价。</w:t>
      </w:r>
    </w:p>
    <w:p>
      <w:pPr>
        <w:pStyle w:val="20"/>
        <w:snapToGrid w:val="0"/>
        <w:spacing w:beforeLines="0" w:afterLines="0" w:line="360" w:lineRule="auto"/>
        <w:ind w:firstLine="482" w:firstLineChars="200"/>
        <w:rPr>
          <w:rFonts w:hAnsi="宋体"/>
          <w:b/>
          <w:bCs/>
        </w:rPr>
      </w:pPr>
      <w:r>
        <w:rPr>
          <w:rFonts w:hAnsi="宋体"/>
          <w:b/>
          <w:bCs/>
        </w:rPr>
        <w:t>按上述修正错误的原则及方法调整或修正响应文件的报价，供应商同意</w:t>
      </w:r>
      <w:r>
        <w:rPr>
          <w:rFonts w:hint="eastAsia" w:hAnsi="宋体"/>
          <w:b/>
          <w:bCs/>
        </w:rPr>
        <w:t>并签字确认</w:t>
      </w:r>
      <w:r>
        <w:rPr>
          <w:rFonts w:hAnsi="宋体"/>
          <w:b/>
          <w:bCs/>
        </w:rPr>
        <w:t>后，调整后的报价对供应商具有约束作用。如果供应商不接受修正后的报价，则将</w:t>
      </w:r>
      <w:r>
        <w:rPr>
          <w:rFonts w:hint="eastAsia" w:hAnsi="宋体"/>
          <w:b/>
          <w:bCs/>
        </w:rPr>
        <w:t>作为响应无效处理</w:t>
      </w:r>
      <w:r>
        <w:rPr>
          <w:rFonts w:hAnsi="宋体"/>
          <w:b/>
          <w:bCs/>
        </w:rPr>
        <w:t>。</w:t>
      </w:r>
    </w:p>
    <w:p>
      <w:pPr>
        <w:pStyle w:val="20"/>
        <w:tabs>
          <w:tab w:val="left" w:pos="630"/>
        </w:tabs>
        <w:snapToGrid w:val="0"/>
        <w:spacing w:beforeLines="0" w:afterLines="0" w:line="360" w:lineRule="auto"/>
        <w:ind w:firstLine="472" w:firstLineChars="196"/>
        <w:rPr>
          <w:rFonts w:hAnsi="宋体"/>
          <w:b/>
        </w:rPr>
      </w:pPr>
      <w:r>
        <w:rPr>
          <w:rFonts w:hAnsi="宋体"/>
          <w:b/>
        </w:rPr>
        <w:t>（</w:t>
      </w:r>
      <w:r>
        <w:rPr>
          <w:rFonts w:hint="eastAsia" w:hAnsi="宋体"/>
          <w:b/>
        </w:rPr>
        <w:t>五</w:t>
      </w:r>
      <w:r>
        <w:rPr>
          <w:rFonts w:hAnsi="宋体"/>
          <w:b/>
        </w:rPr>
        <w:t>）评</w:t>
      </w:r>
      <w:r>
        <w:rPr>
          <w:rFonts w:hint="eastAsia" w:hAnsi="宋体"/>
          <w:b/>
        </w:rPr>
        <w:t>审</w:t>
      </w:r>
      <w:r>
        <w:rPr>
          <w:rFonts w:hAnsi="宋体"/>
          <w:b/>
        </w:rPr>
        <w:t>原则和评</w:t>
      </w:r>
      <w:r>
        <w:rPr>
          <w:rFonts w:hint="eastAsia" w:hAnsi="宋体"/>
          <w:b/>
        </w:rPr>
        <w:t>审</w:t>
      </w:r>
      <w:r>
        <w:rPr>
          <w:rFonts w:hAnsi="宋体"/>
          <w:b/>
        </w:rPr>
        <w:t>办法</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w:t>
      </w:r>
      <w:r>
        <w:rPr>
          <w:rFonts w:hint="eastAsia" w:hAnsi="宋体"/>
        </w:rPr>
        <w:t>审</w:t>
      </w:r>
      <w:r>
        <w:rPr>
          <w:rFonts w:hAnsi="宋体"/>
        </w:rPr>
        <w:t>原则。</w:t>
      </w:r>
      <w:r>
        <w:rPr>
          <w:rFonts w:hint="eastAsia" w:hAnsi="宋体"/>
        </w:rPr>
        <w:t>评审小组</w:t>
      </w:r>
      <w:r>
        <w:rPr>
          <w:rFonts w:hAnsi="宋体"/>
        </w:rPr>
        <w:t>必须公平、公正、客观，不带任何倾向性和启发性；不得向外界透露任何与评</w:t>
      </w:r>
      <w:r>
        <w:rPr>
          <w:rFonts w:hint="eastAsia" w:hAnsi="宋体"/>
        </w:rPr>
        <w:t>审</w:t>
      </w:r>
      <w:r>
        <w:rPr>
          <w:rFonts w:hAnsi="宋体"/>
        </w:rPr>
        <w:t>有关的内容；任何单位和个人不得干扰、影响</w:t>
      </w:r>
      <w:r>
        <w:rPr>
          <w:rFonts w:hint="eastAsia" w:hAnsi="宋体"/>
        </w:rPr>
        <w:t>评审</w:t>
      </w:r>
      <w:r>
        <w:rPr>
          <w:rFonts w:hAnsi="宋体"/>
        </w:rPr>
        <w:t>的正常进行；</w:t>
      </w:r>
      <w:r>
        <w:rPr>
          <w:rFonts w:hint="eastAsia" w:hAnsi="宋体"/>
        </w:rPr>
        <w:t>评审小组</w:t>
      </w:r>
      <w:r>
        <w:rPr>
          <w:rFonts w:hAnsi="宋体"/>
        </w:rPr>
        <w:t>及有关工作人员不得私下与</w:t>
      </w:r>
      <w:r>
        <w:rPr>
          <w:rFonts w:hint="eastAsia" w:hAnsi="宋体"/>
        </w:rPr>
        <w:t>供应商</w:t>
      </w:r>
      <w:r>
        <w:rPr>
          <w:rFonts w:hAnsi="宋体"/>
        </w:rPr>
        <w:t>人接触。</w:t>
      </w:r>
    </w:p>
    <w:p>
      <w:pPr>
        <w:pStyle w:val="20"/>
        <w:snapToGrid w:val="0"/>
        <w:spacing w:beforeLines="0" w:afterLines="0" w:line="360" w:lineRule="auto"/>
        <w:ind w:firstLine="480" w:firstLineChars="200"/>
        <w:rPr>
          <w:rFonts w:hAnsi="宋体"/>
          <w:b/>
          <w:bCs/>
        </w:rPr>
      </w:pPr>
      <w:r>
        <w:rPr>
          <w:rFonts w:hAnsi="宋体"/>
        </w:rPr>
        <w:t>2</w:t>
      </w:r>
      <w:r>
        <w:rPr>
          <w:rFonts w:hint="eastAsia" w:hAnsi="宋体"/>
        </w:rPr>
        <w:t>.评审</w:t>
      </w:r>
      <w:r>
        <w:rPr>
          <w:rFonts w:hAnsi="宋体"/>
        </w:rPr>
        <w:t>办法。本项目</w:t>
      </w:r>
      <w:r>
        <w:rPr>
          <w:rFonts w:hint="eastAsia" w:hAnsi="宋体"/>
        </w:rPr>
        <w:t>评审</w:t>
      </w:r>
      <w:r>
        <w:rPr>
          <w:rFonts w:hAnsi="宋体"/>
        </w:rPr>
        <w:t>办法是</w:t>
      </w:r>
      <w:r>
        <w:rPr>
          <w:rFonts w:hint="eastAsia" w:hAnsi="宋体"/>
        </w:rPr>
        <w:t>综合评分法</w:t>
      </w:r>
      <w:r>
        <w:rPr>
          <w:rFonts w:hAnsi="宋体"/>
        </w:rPr>
        <w:t>，具体评</w:t>
      </w:r>
      <w:r>
        <w:rPr>
          <w:rFonts w:hint="eastAsia" w:hAnsi="宋体"/>
        </w:rPr>
        <w:t>审</w:t>
      </w:r>
      <w:r>
        <w:rPr>
          <w:rFonts w:hAnsi="宋体"/>
        </w:rPr>
        <w:t>内容及评分标准等详见《第</w:t>
      </w:r>
      <w:r>
        <w:rPr>
          <w:rFonts w:hint="eastAsia" w:hAnsi="宋体"/>
        </w:rPr>
        <w:t>三</w:t>
      </w:r>
      <w:r>
        <w:rPr>
          <w:rFonts w:hAnsi="宋体"/>
        </w:rPr>
        <w:t>章：评</w:t>
      </w:r>
      <w:r>
        <w:rPr>
          <w:rFonts w:hint="eastAsia" w:hAnsi="宋体"/>
        </w:rPr>
        <w:t>审</w:t>
      </w:r>
      <w:r>
        <w:rPr>
          <w:rFonts w:hAnsi="宋体"/>
        </w:rPr>
        <w:t>办法》。</w:t>
      </w:r>
    </w:p>
    <w:p>
      <w:pPr>
        <w:pStyle w:val="20"/>
        <w:snapToGrid w:val="0"/>
        <w:spacing w:beforeLines="0" w:afterLines="0" w:line="360" w:lineRule="auto"/>
        <w:ind w:firstLine="472" w:firstLineChars="196"/>
        <w:outlineLvl w:val="1"/>
        <w:rPr>
          <w:rFonts w:hAnsi="宋体"/>
          <w:b/>
        </w:rPr>
      </w:pPr>
      <w:bookmarkStart w:id="40" w:name="_Toc74125982"/>
      <w:r>
        <w:rPr>
          <w:rFonts w:hint="eastAsia" w:hAnsi="宋体"/>
          <w:b/>
        </w:rPr>
        <w:t>四、确定成交供应商</w:t>
      </w:r>
      <w:bookmarkEnd w:id="40"/>
    </w:p>
    <w:p>
      <w:pPr>
        <w:pStyle w:val="20"/>
        <w:snapToGrid w:val="0"/>
        <w:spacing w:before="120" w:after="120" w:line="360" w:lineRule="auto"/>
        <w:ind w:firstLine="470" w:firstLineChars="196"/>
        <w:rPr>
          <w:rFonts w:hAnsi="宋体"/>
        </w:rPr>
      </w:pPr>
      <w:r>
        <w:rPr>
          <w:rFonts w:hint="eastAsia" w:hAnsi="宋体"/>
        </w:rPr>
        <w:t>1、采购人根据评审小组推荐的综合得分排名第一的成交候选人为成交供应商。</w:t>
      </w:r>
    </w:p>
    <w:p>
      <w:pPr>
        <w:pStyle w:val="20"/>
        <w:snapToGrid w:val="0"/>
        <w:spacing w:before="120" w:after="120" w:line="360" w:lineRule="auto"/>
        <w:ind w:firstLine="470" w:firstLineChars="196"/>
        <w:rPr>
          <w:rFonts w:hAnsi="宋体"/>
        </w:rPr>
      </w:pPr>
      <w:r>
        <w:rPr>
          <w:rFonts w:hint="eastAsia" w:hAnsi="宋体"/>
        </w:rPr>
        <w:t>2、采购人确定成交供应商后2个工作日内，采购人应发出《成交通知书》，并同时在相关网站上发布成交结果公告。</w:t>
      </w:r>
    </w:p>
    <w:p>
      <w:pPr>
        <w:pStyle w:val="20"/>
        <w:snapToGrid w:val="0"/>
        <w:spacing w:before="120" w:after="120" w:line="360" w:lineRule="auto"/>
        <w:ind w:firstLine="472" w:firstLineChars="196"/>
        <w:outlineLvl w:val="1"/>
        <w:rPr>
          <w:rFonts w:hAnsi="宋体"/>
          <w:b/>
        </w:rPr>
      </w:pPr>
      <w:bookmarkStart w:id="41" w:name="_Toc74125983"/>
      <w:r>
        <w:rPr>
          <w:rFonts w:hint="eastAsia" w:hAnsi="宋体"/>
          <w:b/>
        </w:rPr>
        <w:t>五、合同授予</w:t>
      </w:r>
      <w:bookmarkEnd w:id="41"/>
    </w:p>
    <w:p>
      <w:pPr>
        <w:snapToGrid w:val="0"/>
        <w:spacing w:line="360" w:lineRule="auto"/>
        <w:ind w:firstLine="472" w:firstLineChars="196"/>
        <w:rPr>
          <w:rFonts w:ascii="宋体" w:hAnsi="宋体"/>
          <w:b/>
          <w:bCs/>
          <w:sz w:val="24"/>
        </w:rPr>
      </w:pPr>
      <w:r>
        <w:rPr>
          <w:rFonts w:hint="eastAsia" w:ascii="宋体" w:hAnsi="宋体"/>
          <w:b/>
          <w:bCs/>
          <w:sz w:val="24"/>
        </w:rPr>
        <w:t>（一）签订合同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成交供应商应</w:t>
      </w:r>
      <w:r>
        <w:rPr>
          <w:rFonts w:hint="eastAsia" w:ascii="宋体" w:hAnsi="宋体"/>
          <w:sz w:val="24"/>
        </w:rPr>
        <w:t>当在《</w:t>
      </w:r>
      <w:r>
        <w:rPr>
          <w:rFonts w:ascii="宋体" w:hAnsi="宋体"/>
          <w:sz w:val="24"/>
        </w:rPr>
        <w:t>成交通知书</w:t>
      </w:r>
      <w:r>
        <w:rPr>
          <w:rFonts w:hint="eastAsia" w:ascii="宋体" w:hAnsi="宋体"/>
          <w:sz w:val="24"/>
        </w:rPr>
        <w:t>》发出之日起30日内签订采购合同。</w:t>
      </w:r>
    </w:p>
    <w:p>
      <w:pPr>
        <w:snapToGrid w:val="0"/>
        <w:spacing w:line="360" w:lineRule="auto"/>
        <w:ind w:left="238" w:firstLine="240" w:firstLineChars="100"/>
        <w:jc w:val="center"/>
        <w:rPr>
          <w:rFonts w:ascii="宋体" w:hAnsi="宋体"/>
          <w:b/>
          <w:sz w:val="30"/>
          <w:szCs w:val="30"/>
        </w:rPr>
      </w:pPr>
      <w:r>
        <w:rPr>
          <w:rFonts w:ascii="宋体" w:hAnsi="宋体"/>
          <w:sz w:val="24"/>
        </w:rPr>
        <w:t>2</w:t>
      </w:r>
      <w:r>
        <w:rPr>
          <w:rFonts w:hint="eastAsia" w:ascii="宋体" w:hAnsi="宋体"/>
          <w:sz w:val="24"/>
        </w:rPr>
        <w:t>.</w:t>
      </w:r>
      <w:r>
        <w:rPr>
          <w:rFonts w:ascii="宋体" w:hAnsi="宋体"/>
          <w:sz w:val="24"/>
        </w:rPr>
        <w:t>成交供应商拖延、拒签合同的</w:t>
      </w:r>
      <w:r>
        <w:rPr>
          <w:rFonts w:hint="eastAsia" w:ascii="宋体" w:hAnsi="宋体"/>
          <w:sz w:val="24"/>
        </w:rPr>
        <w:t>，</w:t>
      </w:r>
      <w:r>
        <w:rPr>
          <w:rFonts w:ascii="宋体" w:hAnsi="宋体"/>
          <w:sz w:val="24"/>
        </w:rPr>
        <w:t>将被取消</w:t>
      </w:r>
      <w:r>
        <w:rPr>
          <w:rFonts w:hint="eastAsia" w:ascii="宋体" w:hAnsi="宋体"/>
          <w:sz w:val="24"/>
        </w:rPr>
        <w:t>成交</w:t>
      </w:r>
      <w:r>
        <w:rPr>
          <w:rFonts w:ascii="宋体" w:hAnsi="宋体"/>
          <w:sz w:val="24"/>
        </w:rPr>
        <w:t>资格。</w:t>
      </w:r>
      <w:r>
        <w:rPr>
          <w:rFonts w:hAnsi="宋体"/>
          <w:b/>
          <w:sz w:val="28"/>
          <w:szCs w:val="28"/>
        </w:rPr>
        <w:br w:type="page"/>
      </w:r>
      <w:bookmarkStart w:id="42" w:name="_Toc482204279"/>
      <w:bookmarkStart w:id="217" w:name="_GoBack"/>
      <w:r>
        <w:rPr>
          <w:rFonts w:hint="eastAsia" w:ascii="宋体" w:hAnsi="宋体"/>
          <w:b/>
          <w:sz w:val="30"/>
          <w:szCs w:val="30"/>
        </w:rPr>
        <w:t>第三章  评审办法</w:t>
      </w:r>
      <w:bookmarkEnd w:id="42"/>
    </w:p>
    <w:bookmarkEnd w:id="217"/>
    <w:p>
      <w:pPr>
        <w:spacing w:before="120" w:beforeLines="50" w:after="120" w:afterLines="50" w:line="360" w:lineRule="auto"/>
        <w:ind w:firstLine="420"/>
        <w:rPr>
          <w:rFonts w:ascii="宋体" w:hAnsi="宋体"/>
          <w:sz w:val="24"/>
        </w:rPr>
      </w:pPr>
    </w:p>
    <w:p>
      <w:pPr>
        <w:spacing w:before="120" w:beforeLines="50" w:after="120" w:afterLines="50" w:line="360" w:lineRule="auto"/>
        <w:ind w:firstLine="420"/>
        <w:rPr>
          <w:rFonts w:ascii="宋体" w:hAnsi="宋体"/>
          <w:sz w:val="24"/>
        </w:rPr>
      </w:pPr>
      <w:r>
        <w:rPr>
          <w:rFonts w:hint="eastAsia" w:ascii="宋体" w:hAnsi="宋体"/>
          <w:sz w:val="24"/>
        </w:rPr>
        <w:t>根据有关法律法规的规定，并结合本项目的实际，制定本办法。</w:t>
      </w:r>
    </w:p>
    <w:p>
      <w:pPr>
        <w:spacing w:before="120" w:beforeLines="50" w:after="120" w:afterLines="50" w:line="360" w:lineRule="auto"/>
        <w:ind w:firstLine="420"/>
        <w:rPr>
          <w:rFonts w:ascii="宋体" w:hAnsi="宋体"/>
          <w:bCs/>
          <w:sz w:val="24"/>
        </w:rPr>
      </w:pPr>
      <w:r>
        <w:rPr>
          <w:rFonts w:hint="eastAsia" w:ascii="宋体" w:hAnsi="宋体"/>
          <w:sz w:val="24"/>
        </w:rPr>
        <w:t>本办法适用于污水处理站沉淀池清淤服务项目</w:t>
      </w:r>
      <w:r>
        <w:rPr>
          <w:rFonts w:hint="eastAsia" w:ascii="宋体" w:hAnsi="宋体"/>
          <w:bCs/>
          <w:sz w:val="24"/>
        </w:rPr>
        <w:t>的评审。</w:t>
      </w:r>
    </w:p>
    <w:p>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pPr>
        <w:spacing w:before="120" w:beforeLines="50" w:after="120" w:afterLines="50" w:line="360" w:lineRule="auto"/>
        <w:ind w:firstLine="480" w:firstLineChars="200"/>
        <w:rPr>
          <w:rFonts w:ascii="宋体" w:hAnsi="宋体"/>
          <w:bCs/>
          <w:sz w:val="24"/>
        </w:rPr>
      </w:pPr>
      <w:r>
        <w:rPr>
          <w:rFonts w:hint="eastAsia" w:ascii="宋体" w:hAnsi="宋体"/>
          <w:sz w:val="24"/>
          <w:highlight w:val="none"/>
        </w:rPr>
        <w:t>本次评审采用综合评分法，总分为100分，其中价格分</w:t>
      </w:r>
      <w:r>
        <w:rPr>
          <w:rFonts w:hint="eastAsia" w:ascii="宋体" w:hAnsi="宋体"/>
          <w:sz w:val="24"/>
          <w:highlight w:val="none"/>
          <w:u w:val="single"/>
        </w:rPr>
        <w:t xml:space="preserve"> 30</w:t>
      </w:r>
      <w:r>
        <w:rPr>
          <w:rFonts w:hint="eastAsia" w:ascii="宋体" w:hAnsi="宋体"/>
          <w:sz w:val="24"/>
          <w:highlight w:val="none"/>
        </w:rPr>
        <w:t>分，资信、商务及技术分</w:t>
      </w:r>
      <w:r>
        <w:rPr>
          <w:rFonts w:hint="eastAsia" w:ascii="宋体" w:hAnsi="宋体"/>
          <w:sz w:val="24"/>
          <w:highlight w:val="none"/>
          <w:u w:val="single"/>
        </w:rPr>
        <w:t xml:space="preserve"> 70</w:t>
      </w:r>
      <w:r>
        <w:rPr>
          <w:rFonts w:hint="eastAsia" w:ascii="宋体" w:hAnsi="宋体"/>
          <w:sz w:val="24"/>
          <w:highlight w:val="none"/>
        </w:rPr>
        <w:t>分。</w:t>
      </w:r>
      <w:r>
        <w:rPr>
          <w:rFonts w:hint="eastAsia" w:ascii="宋体" w:hAnsi="宋体"/>
          <w:sz w:val="24"/>
        </w:rPr>
        <w:t>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bCs/>
          <w:sz w:val="24"/>
        </w:rPr>
        <w:t>评分过程中采用四舍五入法，并保留小数2位。除财政部门另有规定外，评审小组推荐</w:t>
      </w:r>
      <w:r>
        <w:rPr>
          <w:rFonts w:hint="eastAsia" w:ascii="宋体" w:hAnsi="宋体"/>
          <w:sz w:val="24"/>
        </w:rPr>
        <w:t>得分</w:t>
      </w:r>
      <w:r>
        <w:rPr>
          <w:rFonts w:hint="eastAsia" w:ascii="宋体" w:hAnsi="宋体"/>
          <w:bCs/>
          <w:sz w:val="24"/>
        </w:rPr>
        <w:t>排列前</w:t>
      </w:r>
      <w:r>
        <w:rPr>
          <w:rFonts w:hint="eastAsia" w:ascii="宋体" w:hAnsi="宋体"/>
          <w:bCs/>
          <w:sz w:val="24"/>
          <w:u w:val="single"/>
        </w:rPr>
        <w:t xml:space="preserve"> 3 </w:t>
      </w:r>
      <w:r>
        <w:rPr>
          <w:rFonts w:hint="eastAsia" w:ascii="宋体" w:hAnsi="宋体"/>
          <w:bCs/>
          <w:sz w:val="24"/>
        </w:rPr>
        <w:t>名的供应商为成交候选人。</w:t>
      </w:r>
    </w:p>
    <w:p>
      <w:pPr>
        <w:spacing w:before="120" w:beforeLines="50" w:after="120" w:afterLines="50" w:line="360" w:lineRule="auto"/>
        <w:ind w:firstLine="480" w:firstLineChars="200"/>
        <w:rPr>
          <w:rFonts w:ascii="宋体" w:hAnsi="宋体"/>
          <w:sz w:val="24"/>
        </w:rPr>
      </w:pPr>
      <w:r>
        <w:rPr>
          <w:rFonts w:hint="eastAsia" w:ascii="宋体" w:hAnsi="宋体"/>
          <w:sz w:val="24"/>
        </w:rPr>
        <w:t>资信、商务及技术分=评审小组所有成员评分的算术平均数</w:t>
      </w:r>
    </w:p>
    <w:p>
      <w:pPr>
        <w:spacing w:before="120" w:beforeLines="50" w:after="120" w:afterLines="50" w:line="360" w:lineRule="auto"/>
        <w:ind w:firstLine="480" w:firstLineChars="200"/>
      </w:pPr>
      <w:r>
        <w:rPr>
          <w:rFonts w:hint="eastAsia" w:ascii="宋体" w:hAnsi="宋体"/>
          <w:sz w:val="24"/>
        </w:rPr>
        <w:t>供应商评审</w:t>
      </w:r>
      <w:r>
        <w:rPr>
          <w:rFonts w:hint="eastAsia" w:ascii="宋体" w:hAnsi="宋体"/>
          <w:bCs/>
          <w:sz w:val="24"/>
        </w:rPr>
        <w:t>综合得分=价格分+资信、商务及技术分</w:t>
      </w:r>
    </w:p>
    <w:p>
      <w:pPr>
        <w:snapToGrid w:val="0"/>
        <w:spacing w:before="120" w:beforeLines="50" w:line="360" w:lineRule="auto"/>
        <w:ind w:firstLine="472" w:firstLineChars="196"/>
        <w:rPr>
          <w:rFonts w:ascii="宋体" w:hAnsi="宋体"/>
          <w:b/>
          <w:sz w:val="24"/>
        </w:rPr>
      </w:pPr>
      <w:r>
        <w:rPr>
          <w:rFonts w:hint="eastAsia" w:ascii="宋体" w:hAnsi="宋体"/>
          <w:b/>
          <w:sz w:val="24"/>
        </w:rPr>
        <w:t>二、响应无效的情形</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bCs/>
          <w:sz w:val="24"/>
        </w:rPr>
        <w:t>评审人员对各供应商</w:t>
      </w:r>
      <w:r>
        <w:rPr>
          <w:rFonts w:hint="eastAsia" w:ascii="宋体" w:hAnsi="宋体"/>
          <w:bCs/>
          <w:sz w:val="24"/>
        </w:rPr>
        <w:t>的资格条件、响应</w:t>
      </w:r>
      <w:r>
        <w:rPr>
          <w:rFonts w:ascii="宋体" w:hAnsi="宋体"/>
          <w:bCs/>
          <w:sz w:val="24"/>
        </w:rPr>
        <w:t>文件的</w:t>
      </w:r>
      <w:r>
        <w:rPr>
          <w:rFonts w:hint="eastAsia" w:ascii="宋体" w:hAnsi="宋体"/>
          <w:bCs/>
          <w:sz w:val="24"/>
        </w:rPr>
        <w:t>符合</w:t>
      </w:r>
      <w:r>
        <w:rPr>
          <w:rFonts w:ascii="宋体" w:hAnsi="宋体"/>
          <w:bCs/>
          <w:sz w:val="24"/>
        </w:rPr>
        <w:t>性、完整性和响应程度进行审查，确定是否对</w:t>
      </w:r>
      <w:r>
        <w:rPr>
          <w:rFonts w:hint="eastAsia" w:ascii="宋体" w:hAnsi="宋体"/>
          <w:bCs/>
          <w:sz w:val="24"/>
        </w:rPr>
        <w:t>采购</w:t>
      </w:r>
      <w:r>
        <w:rPr>
          <w:rFonts w:ascii="宋体" w:hAnsi="宋体"/>
          <w:bCs/>
          <w:sz w:val="24"/>
        </w:rPr>
        <w:t>文件</w:t>
      </w:r>
      <w:r>
        <w:rPr>
          <w:rFonts w:hint="eastAsia" w:ascii="宋体" w:hAnsi="宋体"/>
          <w:bCs/>
          <w:sz w:val="24"/>
        </w:rPr>
        <w:t>作出了实质性响应</w:t>
      </w:r>
      <w:r>
        <w:rPr>
          <w:rFonts w:ascii="宋体" w:hAnsi="宋体"/>
          <w:bCs/>
          <w:sz w:val="24"/>
        </w:rPr>
        <w:t>。</w:t>
      </w:r>
      <w:r>
        <w:rPr>
          <w:rFonts w:hint="eastAsia" w:ascii="宋体" w:hAnsi="宋体"/>
          <w:bCs/>
          <w:sz w:val="24"/>
        </w:rPr>
        <w:t>实质上没有响应采购文件要求的响应将被视为无效响应。</w:t>
      </w:r>
      <w:r>
        <w:rPr>
          <w:rFonts w:ascii="宋体" w:hAnsi="宋体"/>
          <w:sz w:val="24"/>
        </w:rPr>
        <w:t>如发现下列情形之一的，</w:t>
      </w:r>
      <w:r>
        <w:rPr>
          <w:rFonts w:hint="eastAsia" w:ascii="宋体" w:hAnsi="宋体"/>
          <w:sz w:val="24"/>
        </w:rPr>
        <w:t>响应将被视为无效</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（1）资格证明文件不全，或者不符合采购文件中规定的资格条件的；</w:t>
      </w:r>
    </w:p>
    <w:p>
      <w:pPr>
        <w:snapToGrid w:val="0"/>
        <w:spacing w:line="360" w:lineRule="auto"/>
        <w:ind w:firstLine="480" w:firstLineChars="200"/>
        <w:rPr>
          <w:rFonts w:ascii="宋体" w:hAnsi="宋体"/>
          <w:sz w:val="24"/>
        </w:rPr>
      </w:pPr>
      <w:r>
        <w:rPr>
          <w:rFonts w:hint="eastAsia" w:ascii="宋体" w:hAnsi="宋体"/>
          <w:sz w:val="24"/>
        </w:rPr>
        <w:t>（2）响应文件无法定代表人或其授权代表签字的；</w:t>
      </w:r>
    </w:p>
    <w:p>
      <w:pPr>
        <w:snapToGrid w:val="0"/>
        <w:spacing w:line="360" w:lineRule="auto"/>
        <w:ind w:firstLine="480" w:firstLineChars="200"/>
        <w:rPr>
          <w:rFonts w:ascii="宋体" w:hAnsi="宋体"/>
          <w:sz w:val="24"/>
        </w:rPr>
      </w:pPr>
      <w:r>
        <w:rPr>
          <w:rFonts w:hint="eastAsia" w:ascii="宋体" w:hAnsi="宋体"/>
          <w:sz w:val="24"/>
        </w:rPr>
        <w:t>（3）未提供法定代表人授权委托书（供应商代表不是法定代表人）、磋商响应函或填写项目不齐全的；</w:t>
      </w:r>
    </w:p>
    <w:p>
      <w:pPr>
        <w:snapToGrid w:val="0"/>
        <w:spacing w:line="360" w:lineRule="auto"/>
        <w:ind w:firstLine="480" w:firstLineChars="200"/>
        <w:rPr>
          <w:rFonts w:ascii="宋体" w:hAnsi="宋体"/>
          <w:sz w:val="24"/>
        </w:rPr>
      </w:pPr>
      <w:r>
        <w:rPr>
          <w:rFonts w:hint="eastAsia" w:ascii="宋体" w:hAnsi="宋体"/>
          <w:sz w:val="24"/>
        </w:rPr>
        <w:t>（4）响应文件有效期不满足采购文件要求的；</w:t>
      </w:r>
    </w:p>
    <w:p>
      <w:pPr>
        <w:snapToGrid w:val="0"/>
        <w:spacing w:line="360" w:lineRule="auto"/>
        <w:ind w:firstLine="480" w:firstLineChars="200"/>
        <w:rPr>
          <w:rFonts w:ascii="宋体" w:hAnsi="宋体"/>
          <w:sz w:val="24"/>
        </w:rPr>
      </w:pPr>
      <w:r>
        <w:rPr>
          <w:rFonts w:hint="eastAsia" w:ascii="宋体" w:hAnsi="宋体"/>
          <w:sz w:val="24"/>
        </w:rPr>
        <w:t>（5）未提供或未如实提供报价货物的技术参数，或者响应文件标明的商务、技术响应与事实不符或虚假响应的；</w:t>
      </w:r>
    </w:p>
    <w:p>
      <w:pPr>
        <w:snapToGrid w:val="0"/>
        <w:spacing w:line="360" w:lineRule="auto"/>
        <w:ind w:firstLine="480" w:firstLineChars="200"/>
        <w:rPr>
          <w:rFonts w:ascii="宋体" w:hAnsi="宋体"/>
          <w:sz w:val="24"/>
        </w:rPr>
      </w:pPr>
      <w:r>
        <w:rPr>
          <w:rFonts w:hint="eastAsia" w:ascii="宋体" w:hAnsi="宋体"/>
          <w:sz w:val="24"/>
        </w:rPr>
        <w:t>（7）报价技术方案不明确，存在一个或一个以上备选（替代）方案的；</w:t>
      </w:r>
    </w:p>
    <w:p>
      <w:pPr>
        <w:snapToGrid w:val="0"/>
        <w:spacing w:line="360" w:lineRule="auto"/>
        <w:ind w:firstLine="480" w:firstLineChars="200"/>
        <w:rPr>
          <w:rFonts w:ascii="宋体" w:hAnsi="宋体"/>
          <w:sz w:val="24"/>
        </w:rPr>
      </w:pPr>
      <w:r>
        <w:rPr>
          <w:rFonts w:hint="eastAsia" w:ascii="宋体" w:hAnsi="宋体"/>
          <w:sz w:val="24"/>
        </w:rPr>
        <w:t>（8）响应文件含有采购人不能接受的附加条件的；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（9）报价具有选择性的；</w:t>
      </w:r>
    </w:p>
    <w:p>
      <w:pPr>
        <w:snapToGrid w:val="0"/>
        <w:spacing w:line="360" w:lineRule="auto"/>
        <w:ind w:firstLine="480" w:firstLineChars="200"/>
        <w:rPr>
          <w:rFonts w:ascii="宋体" w:hAnsi="宋体"/>
          <w:sz w:val="24"/>
        </w:rPr>
      </w:pPr>
      <w:r>
        <w:rPr>
          <w:rFonts w:hint="eastAsia" w:ascii="宋体" w:hAnsi="宋体"/>
          <w:sz w:val="24"/>
        </w:rPr>
        <w:t>（10）不接受按采购文件规定的修正错误原则修正后的报价的；</w:t>
      </w:r>
    </w:p>
    <w:p>
      <w:pPr>
        <w:snapToGrid w:val="0"/>
        <w:spacing w:line="360" w:lineRule="auto"/>
        <w:ind w:firstLine="480" w:firstLineChars="200"/>
        <w:rPr>
          <w:rFonts w:ascii="宋体" w:hAnsi="宋体"/>
          <w:sz w:val="24"/>
        </w:rPr>
      </w:pPr>
      <w:r>
        <w:rPr>
          <w:rFonts w:hint="eastAsia" w:ascii="宋体" w:hAnsi="宋体"/>
          <w:sz w:val="24"/>
        </w:rPr>
        <w:t>（11）不同供应商的响应文件由同一单位或者个人编制的；</w:t>
      </w:r>
    </w:p>
    <w:p>
      <w:pPr>
        <w:snapToGrid w:val="0"/>
        <w:spacing w:line="360" w:lineRule="auto"/>
        <w:ind w:firstLine="480" w:firstLineChars="200"/>
        <w:rPr>
          <w:rFonts w:ascii="宋体" w:hAnsi="宋体"/>
          <w:sz w:val="24"/>
        </w:rPr>
      </w:pPr>
      <w:r>
        <w:rPr>
          <w:rFonts w:hint="eastAsia" w:ascii="宋体" w:hAnsi="宋体"/>
          <w:sz w:val="24"/>
        </w:rPr>
        <w:t>（12）不同供应商委托同一单位或者个人办理磋商事宜的；</w:t>
      </w:r>
    </w:p>
    <w:p>
      <w:pPr>
        <w:snapToGrid w:val="0"/>
        <w:spacing w:line="360" w:lineRule="auto"/>
        <w:ind w:firstLine="480" w:firstLineChars="200"/>
        <w:rPr>
          <w:rFonts w:ascii="宋体" w:hAnsi="宋体"/>
          <w:sz w:val="24"/>
        </w:rPr>
      </w:pPr>
      <w:r>
        <w:rPr>
          <w:rFonts w:hint="eastAsia" w:ascii="宋体" w:hAnsi="宋体"/>
          <w:sz w:val="24"/>
        </w:rPr>
        <w:t>（13）不同供应商的响应文件载明的项目管理成员或者联系人员为同一人的；</w:t>
      </w:r>
    </w:p>
    <w:p>
      <w:pPr>
        <w:snapToGrid w:val="0"/>
        <w:spacing w:line="360" w:lineRule="auto"/>
        <w:ind w:firstLine="480" w:firstLineChars="200"/>
        <w:rPr>
          <w:rFonts w:ascii="宋体" w:hAnsi="宋体"/>
          <w:sz w:val="24"/>
        </w:rPr>
      </w:pPr>
      <w:r>
        <w:rPr>
          <w:rFonts w:hint="eastAsia" w:ascii="宋体" w:hAnsi="宋体"/>
          <w:sz w:val="24"/>
        </w:rPr>
        <w:t>（14）不同供应商的响应文件异常一致或者报价呈规律性差异的；</w:t>
      </w:r>
    </w:p>
    <w:p>
      <w:pPr>
        <w:snapToGrid w:val="0"/>
        <w:spacing w:line="360" w:lineRule="auto"/>
        <w:ind w:firstLine="480" w:firstLineChars="200"/>
        <w:rPr>
          <w:rFonts w:ascii="宋体" w:hAnsi="宋体"/>
          <w:sz w:val="24"/>
        </w:rPr>
      </w:pPr>
      <w:r>
        <w:rPr>
          <w:rFonts w:hint="eastAsia" w:ascii="宋体" w:hAnsi="宋体"/>
          <w:sz w:val="24"/>
        </w:rPr>
        <w:t>（15）不同供应商的响应文件相互混装的；</w:t>
      </w:r>
    </w:p>
    <w:p>
      <w:pPr>
        <w:snapToGrid w:val="0"/>
        <w:spacing w:line="360" w:lineRule="auto"/>
        <w:ind w:firstLine="480" w:firstLineChars="200"/>
        <w:rPr>
          <w:rFonts w:ascii="宋体" w:hAnsi="宋体"/>
          <w:b/>
          <w:sz w:val="24"/>
        </w:rPr>
      </w:pPr>
      <w:r>
        <w:rPr>
          <w:rFonts w:hint="eastAsia" w:ascii="宋体" w:hAnsi="宋体"/>
          <w:sz w:val="24"/>
        </w:rPr>
        <w:t>（16）法律、法规和采购文件规定的其他无效情形。</w:t>
      </w:r>
    </w:p>
    <w:p>
      <w:pPr>
        <w:spacing w:before="120" w:beforeLines="50" w:after="120" w:afterLines="50" w:line="360" w:lineRule="auto"/>
        <w:ind w:firstLine="482" w:firstLineChars="200"/>
        <w:rPr>
          <w:rFonts w:ascii="宋体" w:hAnsi="宋体"/>
          <w:b/>
          <w:sz w:val="24"/>
        </w:rPr>
      </w:pPr>
      <w:r>
        <w:rPr>
          <w:rFonts w:hint="eastAsia" w:ascii="宋体" w:hAnsi="宋体"/>
          <w:b/>
          <w:sz w:val="24"/>
        </w:rPr>
        <w:t>三、评审内容及标准</w:t>
      </w:r>
    </w:p>
    <w:p>
      <w:pPr>
        <w:numPr>
          <w:ilvl w:val="0"/>
          <w:numId w:val="3"/>
        </w:numPr>
        <w:spacing w:before="120" w:beforeLines="50" w:after="120" w:afterLines="50" w:line="360" w:lineRule="auto"/>
        <w:ind w:firstLine="472" w:firstLineChars="196"/>
        <w:rPr>
          <w:rFonts w:ascii="宋体" w:hAnsi="宋体"/>
          <w:b/>
          <w:sz w:val="24"/>
        </w:rPr>
      </w:pPr>
      <w:r>
        <w:rPr>
          <w:rFonts w:hint="eastAsia" w:ascii="宋体" w:hAnsi="宋体"/>
          <w:b/>
          <w:bCs/>
          <w:sz w:val="24"/>
          <w:highlight w:val="none"/>
        </w:rPr>
        <w:t>资信、商务及技术部分</w:t>
      </w:r>
      <w:r>
        <w:rPr>
          <w:rFonts w:hint="eastAsia" w:ascii="宋体" w:hAnsi="宋体"/>
          <w:b/>
          <w:sz w:val="24"/>
        </w:rPr>
        <w:t>（</w:t>
      </w:r>
      <w:r>
        <w:rPr>
          <w:rFonts w:hint="eastAsia" w:ascii="宋体" w:hAnsi="宋体"/>
          <w:b/>
          <w:sz w:val="24"/>
          <w:u w:val="single"/>
        </w:rPr>
        <w:t>70</w:t>
      </w:r>
      <w:r>
        <w:rPr>
          <w:rFonts w:hint="eastAsia" w:ascii="宋体" w:hAnsi="宋体"/>
          <w:b/>
          <w:sz w:val="24"/>
        </w:rPr>
        <w:t>分）</w:t>
      </w:r>
    </w:p>
    <w:tbl>
      <w:tblPr>
        <w:tblStyle w:val="37"/>
        <w:tblpPr w:leftFromText="180" w:rightFromText="180" w:vertAnchor="text" w:horzAnchor="page" w:tblpX="1763" w:tblpY="213"/>
        <w:tblOverlap w:val="never"/>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59"/>
        <w:gridCol w:w="598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序号</w:t>
            </w:r>
          </w:p>
        </w:tc>
        <w:tc>
          <w:tcPr>
            <w:tcW w:w="41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评审内容</w:t>
            </w:r>
          </w:p>
        </w:tc>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368" w:type="pct"/>
            <w:vMerge w:val="restart"/>
            <w:tcBorders>
              <w:top w:val="single" w:color="auto" w:sz="4" w:space="0"/>
              <w:left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1</w:t>
            </w:r>
          </w:p>
        </w:tc>
        <w:tc>
          <w:tcPr>
            <w:tcW w:w="679" w:type="pct"/>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业绩</w:t>
            </w:r>
          </w:p>
        </w:tc>
        <w:tc>
          <w:tcPr>
            <w:tcW w:w="35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2019年5月1日至响应文件递交截止时间，供应商具有同类项目业绩的，每提供一个业绩证明材料得2分，得分不超过6分。</w:t>
            </w:r>
          </w:p>
          <w:p>
            <w:pPr>
              <w:adjustRightInd w:val="0"/>
              <w:snapToGrid w:val="0"/>
              <w:spacing w:line="360" w:lineRule="auto"/>
              <w:jc w:val="left"/>
              <w:rPr>
                <w:rFonts w:ascii="宋体" w:hAnsi="宋体"/>
                <w:sz w:val="24"/>
              </w:rPr>
            </w:pPr>
            <w:r>
              <w:rPr>
                <w:rFonts w:hint="eastAsia" w:ascii="宋体" w:hAnsi="宋体"/>
                <w:sz w:val="24"/>
              </w:rPr>
              <w:t>业绩证明材料：提供合同复印件，要求能反映评审因素。</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679" w:type="pct"/>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提供的同类项目业绩中具有业主反馈表的：每提供一份业主反馈表且反馈内容为好评的得1分，最多得3分；得分可累计，未提供的不得分。证明材料：业主反馈表须加盖业主单位章，且反馈表中能体现评审要素。</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restart"/>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679" w:type="pct"/>
            <w:vMerge w:val="restart"/>
            <w:tcBorders>
              <w:top w:val="single" w:color="auto" w:sz="4" w:space="0"/>
              <w:left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服务方案响应</w:t>
            </w: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highlight w:val="none"/>
              </w:rPr>
            </w:pPr>
            <w:r>
              <w:rPr>
                <w:rFonts w:hint="eastAsia" w:ascii="宋体" w:hAnsi="宋体"/>
                <w:sz w:val="24"/>
                <w:highlight w:val="none"/>
              </w:rPr>
              <w:t>完全响应招标文件第四章“二、服务范围和内容”以及“三、服务要求”的，得</w:t>
            </w:r>
            <w:r>
              <w:rPr>
                <w:rFonts w:ascii="宋体" w:hAnsi="宋体"/>
                <w:sz w:val="24"/>
                <w:highlight w:val="none"/>
              </w:rPr>
              <w:t>20</w:t>
            </w:r>
            <w:r>
              <w:rPr>
                <w:rFonts w:hint="eastAsia" w:ascii="宋体" w:hAnsi="宋体"/>
                <w:sz w:val="24"/>
                <w:highlight w:val="none"/>
              </w:rPr>
              <w:t>分；存在负偏离或未响应要求，每项扣</w:t>
            </w:r>
            <w:r>
              <w:rPr>
                <w:rFonts w:ascii="宋体" w:hAnsi="宋体"/>
                <w:sz w:val="24"/>
                <w:highlight w:val="none"/>
              </w:rPr>
              <w:t>2分，扣完为止。</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highlight w:val="none"/>
              </w:rPr>
            </w:pPr>
            <w:r>
              <w:rPr>
                <w:rFonts w:hint="eastAsia" w:ascii="宋体" w:hAnsi="宋体"/>
                <w:sz w:val="24"/>
                <w:highlight w:val="none"/>
              </w:rPr>
              <w:t>拟派项目负责人的相关从业经验、资历以及相关证书情况。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项目实施人员经验能力等情况。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拟投入的清淤设备配备情况。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沉淀池污物收回处置方案。</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项目实施期间确保污水处理达标排放的方案和保障措施。</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应急预案内容是否合理、突发情况的响应时效以及处理流程等。</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rPr>
                <w:rFonts w:ascii="宋体" w:hAnsi="宋体"/>
                <w:sz w:val="24"/>
              </w:rPr>
            </w:pPr>
          </w:p>
        </w:tc>
        <w:tc>
          <w:tcPr>
            <w:tcW w:w="3505" w:type="pct"/>
            <w:tcBorders>
              <w:left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更换设施设备售后服务情况。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4185" w:type="pct"/>
            <w:gridSpan w:val="2"/>
            <w:tcBorders>
              <w:left w:val="single" w:color="auto" w:sz="4" w:space="0"/>
              <w:right w:val="single" w:color="auto" w:sz="4" w:space="0"/>
            </w:tcBorders>
            <w:vAlign w:val="center"/>
          </w:tcPr>
          <w:p>
            <w:pPr>
              <w:spacing w:line="360" w:lineRule="auto"/>
              <w:ind w:right="-21" w:rightChars="-10"/>
              <w:rPr>
                <w:rFonts w:ascii="宋体" w:hAnsi="宋体"/>
                <w:color w:val="FF0000"/>
                <w:sz w:val="24"/>
                <w:highlight w:val="yellow"/>
              </w:rPr>
            </w:pPr>
            <w:r>
              <w:rPr>
                <w:rFonts w:hint="eastAsia" w:ascii="宋体" w:hAnsi="宋体"/>
                <w:sz w:val="24"/>
              </w:rPr>
              <w:t>针对本项目沉淀池清淤疏通服务全过程管理的优化提升建议措施。</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4分</w:t>
            </w:r>
          </w:p>
        </w:tc>
      </w:tr>
    </w:tbl>
    <w:p>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rPr>
        <w:t>3</w:t>
      </w:r>
      <w:r>
        <w:rPr>
          <w:rFonts w:hint="eastAsia" w:ascii="宋体" w:hAnsi="宋体"/>
          <w:b/>
          <w:bCs/>
          <w:sz w:val="24"/>
          <w:u w:val="single"/>
        </w:rPr>
        <w:t>0</w:t>
      </w:r>
      <w:r>
        <w:rPr>
          <w:rFonts w:ascii="宋体" w:hAnsi="宋体"/>
          <w:b/>
          <w:bCs/>
          <w:sz w:val="24"/>
        </w:rPr>
        <w:t>分）</w:t>
      </w:r>
    </w:p>
    <w:p>
      <w:pPr>
        <w:pStyle w:val="16"/>
        <w:spacing w:before="120" w:beforeLines="50" w:after="120" w:afterLines="50" w:line="360" w:lineRule="auto"/>
        <w:ind w:firstLine="464" w:firstLineChars="200"/>
        <w:rPr>
          <w:rFonts w:hAnsi="宋体" w:cs="宋体"/>
          <w:bCs/>
          <w:sz w:val="24"/>
          <w:szCs w:val="24"/>
        </w:rPr>
      </w:pPr>
      <w:r>
        <w:rPr>
          <w:rFonts w:hint="eastAsia" w:hAnsi="宋体" w:cs="宋体"/>
          <w:bCs/>
          <w:sz w:val="24"/>
          <w:szCs w:val="24"/>
        </w:rPr>
        <w:t>价格分采用低价优先法计算，即满足采购文件要求且报价最低的报价为评审基准价，其价格分为满分。其他供应商的价格分按照下列公式计算：</w:t>
      </w:r>
    </w:p>
    <w:p>
      <w:pPr>
        <w:pStyle w:val="20"/>
        <w:snapToGrid w:val="0"/>
        <w:spacing w:beforeLines="0" w:afterLines="0" w:line="360" w:lineRule="auto"/>
        <w:ind w:firstLine="480" w:firstLineChars="200"/>
        <w:rPr>
          <w:rFonts w:hAnsi="宋体" w:cs="宋体"/>
        </w:rPr>
      </w:pPr>
      <w:r>
        <w:rPr>
          <w:rFonts w:hint="eastAsia" w:hAnsi="宋体" w:cs="宋体"/>
        </w:rPr>
        <w:t>价格分=（评审基准价/报价）×</w:t>
      </w:r>
      <w:r>
        <w:rPr>
          <w:rFonts w:hint="eastAsia" w:hAnsi="宋体" w:cs="宋体"/>
          <w:u w:val="single"/>
        </w:rPr>
        <w:t>30</w:t>
      </w:r>
      <w:r>
        <w:rPr>
          <w:rFonts w:hint="eastAsia" w:hAnsi="宋体" w:cs="宋体"/>
        </w:rPr>
        <w:t>%×100</w:t>
      </w:r>
    </w:p>
    <w:p>
      <w:pPr>
        <w:adjustRightInd w:val="0"/>
        <w:snapToGrid w:val="0"/>
        <w:spacing w:line="360" w:lineRule="auto"/>
        <w:ind w:firstLine="482" w:firstLineChars="200"/>
        <w:rPr>
          <w:rFonts w:ascii="宋体" w:hAnsi="宋体"/>
          <w:b/>
          <w:sz w:val="24"/>
          <w:u w:val="single"/>
        </w:rPr>
      </w:pPr>
    </w:p>
    <w:p>
      <w:pPr>
        <w:pStyle w:val="16"/>
        <w:spacing w:before="120" w:beforeLines="50" w:after="120" w:afterLines="50" w:line="360" w:lineRule="auto"/>
        <w:ind w:firstLine="586" w:firstLineChars="200"/>
        <w:jc w:val="center"/>
      </w:pPr>
      <w:bookmarkStart w:id="43" w:name="_Toc482204280"/>
      <w:r>
        <w:rPr>
          <w:rFonts w:hAnsi="宋体"/>
          <w:b/>
          <w:sz w:val="30"/>
          <w:szCs w:val="30"/>
        </w:rPr>
        <w:br w:type="page"/>
      </w:r>
      <w:r>
        <w:rPr>
          <w:rFonts w:hint="eastAsia" w:hAnsi="宋体"/>
          <w:b/>
          <w:sz w:val="30"/>
          <w:szCs w:val="30"/>
        </w:rPr>
        <w:t>第四章  采购内容及需求</w:t>
      </w:r>
      <w:bookmarkEnd w:id="43"/>
    </w:p>
    <w:p>
      <w:pPr>
        <w:pStyle w:val="16"/>
        <w:spacing w:before="120" w:beforeLines="50" w:after="120" w:afterLines="50" w:line="360" w:lineRule="auto"/>
        <w:ind w:firstLine="466" w:firstLineChars="200"/>
        <w:rPr>
          <w:rFonts w:hAnsi="宋体"/>
          <w:b/>
          <w:bCs/>
          <w:sz w:val="24"/>
          <w:szCs w:val="24"/>
        </w:rPr>
      </w:pPr>
      <w:r>
        <w:rPr>
          <w:rFonts w:hint="eastAsia" w:hAnsi="宋体"/>
          <w:b/>
          <w:bCs/>
          <w:sz w:val="24"/>
          <w:szCs w:val="24"/>
        </w:rPr>
        <w:t>一、项目概况</w:t>
      </w:r>
    </w:p>
    <w:p>
      <w:pPr>
        <w:adjustRightInd w:val="0"/>
        <w:snapToGrid w:val="0"/>
        <w:spacing w:line="360" w:lineRule="auto"/>
        <w:ind w:left="105" w:leftChars="50" w:firstLine="360" w:firstLineChars="150"/>
        <w:rPr>
          <w:rFonts w:ascii="宋体" w:hAnsi="宋体"/>
          <w:color w:val="000000"/>
          <w:sz w:val="24"/>
        </w:rPr>
      </w:pPr>
      <w:r>
        <w:rPr>
          <w:rFonts w:hint="eastAsia" w:ascii="宋体" w:hAnsi="宋体"/>
          <w:color w:val="000000"/>
          <w:sz w:val="24"/>
        </w:rPr>
        <w:t>1、</w:t>
      </w:r>
      <w:r>
        <w:rPr>
          <w:rFonts w:hint="eastAsia" w:ascii="宋体" w:hAnsi="宋体" w:cs="宋体"/>
          <w:color w:val="000000"/>
          <w:sz w:val="24"/>
          <w:szCs w:val="20"/>
        </w:rPr>
        <w:t>浙江中医药大学附属第二医院污水处理站沉淀池清淤服务，</w:t>
      </w:r>
      <w:r>
        <w:rPr>
          <w:rFonts w:hint="eastAsia" w:hAnsi="宋体"/>
          <w:sz w:val="24"/>
        </w:rPr>
        <w:t>负责</w:t>
      </w:r>
      <w:r>
        <w:rPr>
          <w:rFonts w:hint="eastAsia" w:ascii="宋体" w:hAnsi="宋体"/>
          <w:sz w:val="24"/>
        </w:rPr>
        <w:t>对</w:t>
      </w:r>
      <w:r>
        <w:rPr>
          <w:rFonts w:hint="eastAsia" w:hAnsi="宋体"/>
          <w:sz w:val="24"/>
        </w:rPr>
        <w:t>医院</w:t>
      </w:r>
      <w:r>
        <w:rPr>
          <w:rFonts w:hint="eastAsia" w:ascii="宋体" w:hAnsi="宋体"/>
          <w:sz w:val="24"/>
        </w:rPr>
        <w:t>污水</w:t>
      </w:r>
      <w:r>
        <w:rPr>
          <w:rFonts w:hint="eastAsia" w:hAnsi="宋体"/>
          <w:sz w:val="24"/>
        </w:rPr>
        <w:t>处理</w:t>
      </w:r>
      <w:r>
        <w:rPr>
          <w:rFonts w:hint="eastAsia" w:ascii="宋体" w:hAnsi="宋体"/>
          <w:sz w:val="24"/>
        </w:rPr>
        <w:t>站沉淀池污泥进行清理处置</w:t>
      </w:r>
      <w:r>
        <w:rPr>
          <w:rFonts w:hint="eastAsia" w:hAnsi="宋体"/>
          <w:sz w:val="24"/>
        </w:rPr>
        <w:t>以及</w:t>
      </w:r>
      <w:r>
        <w:rPr>
          <w:rFonts w:hint="eastAsia" w:ascii="宋体" w:hAnsi="宋体"/>
          <w:sz w:val="24"/>
        </w:rPr>
        <w:t>对相关设备进行改造</w:t>
      </w:r>
      <w:r>
        <w:rPr>
          <w:rFonts w:hint="eastAsia" w:ascii="宋体" w:hAnsi="宋体"/>
          <w:color w:val="000000"/>
          <w:sz w:val="24"/>
        </w:rPr>
        <w:t>。</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2、项目位置：杭州市拱墅区潮王路318号。</w:t>
      </w:r>
    </w:p>
    <w:p>
      <w:pPr>
        <w:spacing w:line="360" w:lineRule="auto"/>
        <w:ind w:firstLine="480" w:firstLineChars="200"/>
        <w:rPr>
          <w:rFonts w:ascii="宋体" w:hAnsi="宋体" w:cs="宋体"/>
          <w:color w:val="FF0000"/>
          <w:sz w:val="24"/>
          <w:highlight w:val="yellow"/>
        </w:rPr>
      </w:pPr>
      <w:r>
        <w:rPr>
          <w:rFonts w:hint="eastAsia" w:ascii="宋体" w:hAnsi="宋体"/>
          <w:sz w:val="24"/>
        </w:rPr>
        <w:t>3、</w:t>
      </w:r>
      <w:r>
        <w:rPr>
          <w:rFonts w:hint="eastAsia" w:ascii="宋体" w:hAnsi="宋体"/>
          <w:sz w:val="24"/>
          <w:highlight w:val="none"/>
        </w:rPr>
        <w:t>工期：供应商接到采购人实施通知后</w:t>
      </w:r>
      <w:r>
        <w:rPr>
          <w:rFonts w:hint="eastAsia" w:ascii="宋体" w:hAnsi="宋体"/>
          <w:sz w:val="24"/>
          <w:highlight w:val="none"/>
          <w:u w:val="single"/>
        </w:rPr>
        <w:t xml:space="preserve">    7   </w:t>
      </w:r>
      <w:r>
        <w:rPr>
          <w:rFonts w:hint="eastAsia" w:ascii="宋体" w:hAnsi="宋体"/>
          <w:sz w:val="24"/>
          <w:highlight w:val="none"/>
        </w:rPr>
        <w:t>天内完工。</w:t>
      </w:r>
    </w:p>
    <w:p>
      <w:pPr>
        <w:snapToGrid w:val="0"/>
        <w:spacing w:line="360" w:lineRule="auto"/>
        <w:ind w:firstLine="482" w:firstLineChars="200"/>
        <w:rPr>
          <w:rFonts w:ascii="宋体" w:hAnsi="宋体"/>
          <w:b/>
          <w:sz w:val="24"/>
        </w:rPr>
      </w:pPr>
      <w:r>
        <w:rPr>
          <w:rFonts w:hint="eastAsia" w:hAnsi="宋体"/>
          <w:b/>
          <w:bCs/>
          <w:sz w:val="24"/>
        </w:rPr>
        <w:t>二、服务</w:t>
      </w:r>
      <w:r>
        <w:rPr>
          <w:rFonts w:hint="eastAsia" w:ascii="宋体" w:hAnsi="宋体"/>
          <w:b/>
          <w:sz w:val="24"/>
        </w:rPr>
        <w:t>范围和</w:t>
      </w:r>
      <w:r>
        <w:rPr>
          <w:rFonts w:ascii="宋体" w:hAnsi="宋体"/>
          <w:b/>
          <w:sz w:val="24"/>
        </w:rPr>
        <w:t>内容</w:t>
      </w:r>
    </w:p>
    <w:p>
      <w:pPr>
        <w:snapToGrid w:val="0"/>
        <w:spacing w:line="360" w:lineRule="auto"/>
        <w:ind w:firstLine="480" w:firstLineChars="200"/>
        <w:rPr>
          <w:rFonts w:ascii="宋体" w:hAnsi="宋体"/>
          <w:sz w:val="24"/>
        </w:rPr>
      </w:pPr>
      <w:r>
        <w:rPr>
          <w:rFonts w:hint="eastAsia" w:ascii="宋体" w:hAnsi="宋体"/>
          <w:sz w:val="24"/>
        </w:rPr>
        <w:t>1、采购人污水处理站沉淀池共有4个，约95立方米（以实际面积为准），供应商应对沉淀池内淤污泥及杂物全部清除，污泥的处置、转运应委托具备专业资质的处置单位进行并提供处置五联单，处置前应按照相关要求在浙江省危废平台申报相关数据。</w:t>
      </w:r>
    </w:p>
    <w:p>
      <w:pPr>
        <w:snapToGrid w:val="0"/>
        <w:spacing w:line="360" w:lineRule="auto"/>
        <w:ind w:firstLine="480" w:firstLineChars="200"/>
        <w:rPr>
          <w:rFonts w:ascii="宋体" w:hAnsi="宋体"/>
          <w:b/>
          <w:sz w:val="24"/>
        </w:rPr>
      </w:pPr>
      <w:r>
        <w:rPr>
          <w:rFonts w:hint="eastAsia" w:ascii="宋体" w:hAnsi="宋体"/>
          <w:sz w:val="24"/>
        </w:rPr>
        <w:t>2、供应商负责对沉淀池、污泥池水泵、阀门等已损坏设备进行更换、安装、调试对管道进行疏通，项目完成后确保污泥回流、外排设施能够正常运行，清单如下：</w:t>
      </w:r>
    </w:p>
    <w:tbl>
      <w:tblPr>
        <w:tblStyle w:val="37"/>
        <w:tblW w:w="5541" w:type="pct"/>
        <w:tblInd w:w="-482" w:type="dxa"/>
        <w:tblLayout w:type="fixed"/>
        <w:tblCellMar>
          <w:top w:w="57" w:type="dxa"/>
          <w:left w:w="85" w:type="dxa"/>
          <w:bottom w:w="57" w:type="dxa"/>
          <w:right w:w="85" w:type="dxa"/>
        </w:tblCellMar>
      </w:tblPr>
      <w:tblGrid>
        <w:gridCol w:w="724"/>
        <w:gridCol w:w="1447"/>
        <w:gridCol w:w="4626"/>
        <w:gridCol w:w="719"/>
        <w:gridCol w:w="852"/>
        <w:gridCol w:w="1032"/>
      </w:tblGrid>
      <w:tr>
        <w:tblPrEx>
          <w:tblCellMar>
            <w:top w:w="57" w:type="dxa"/>
            <w:left w:w="85" w:type="dxa"/>
            <w:bottom w:w="57" w:type="dxa"/>
            <w:right w:w="85" w:type="dxa"/>
          </w:tblCellMar>
        </w:tblPrEx>
        <w:trPr>
          <w:trHeight w:val="427"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序号</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w:t>
            </w:r>
          </w:p>
          <w:p>
            <w:pPr>
              <w:spacing w:line="440" w:lineRule="exact"/>
              <w:jc w:val="center"/>
              <w:rPr>
                <w:rFonts w:ascii="宋体" w:hAnsi="宋体"/>
                <w:sz w:val="24"/>
              </w:rPr>
            </w:pPr>
            <w:r>
              <w:rPr>
                <w:rFonts w:hint="eastAsia" w:ascii="宋体" w:hAnsi="宋体"/>
                <w:sz w:val="24"/>
              </w:rPr>
              <w:t>名称</w:t>
            </w:r>
          </w:p>
        </w:tc>
        <w:tc>
          <w:tcPr>
            <w:tcW w:w="462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项目内容</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数量</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单位</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备注</w:t>
            </w:r>
          </w:p>
        </w:tc>
      </w:tr>
      <w:tr>
        <w:tblPrEx>
          <w:tblCellMar>
            <w:top w:w="57" w:type="dxa"/>
            <w:left w:w="85" w:type="dxa"/>
            <w:bottom w:w="57" w:type="dxa"/>
            <w:right w:w="85" w:type="dxa"/>
          </w:tblCellMar>
        </w:tblPrEx>
        <w:trPr>
          <w:trHeight w:val="698"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144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损坏设备拆除及管道疏通改造</w:t>
            </w: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原有隔膜泵、管道、阀门及配件等拆除</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427"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top w:val="nil"/>
              <w:left w:val="single" w:color="auto" w:sz="4" w:space="0"/>
              <w:bottom w:val="single" w:color="auto" w:sz="4" w:space="0"/>
              <w:right w:val="single" w:color="auto" w:sz="4" w:space="0"/>
            </w:tcBorders>
            <w:vAlign w:val="center"/>
          </w:tcPr>
          <w:p>
            <w:pPr>
              <w:spacing w:line="440" w:lineRule="exact"/>
              <w:jc w:val="left"/>
              <w:rPr>
                <w:rFonts w:ascii="宋体" w:hAnsi="宋体"/>
                <w:sz w:val="24"/>
              </w:rPr>
            </w:pP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现有污泥外排泵拆除、管道疏通、阀门及配件更换等</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1130"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2</w:t>
            </w:r>
          </w:p>
        </w:tc>
        <w:tc>
          <w:tcPr>
            <w:tcW w:w="1447" w:type="dxa"/>
            <w:vMerge w:val="restart"/>
            <w:tcBorders>
              <w:top w:val="nil"/>
              <w:left w:val="single" w:color="auto" w:sz="4" w:space="0"/>
              <w:right w:val="single" w:color="auto" w:sz="4" w:space="0"/>
            </w:tcBorders>
            <w:shd w:val="clear" w:color="auto" w:fill="auto"/>
            <w:noWrap/>
            <w:vAlign w:val="center"/>
          </w:tcPr>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更换、新增设备</w:t>
            </w: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沉淀池污泥排出泵：口径Ф80mm、H=13m、Q=43m</w:t>
            </w:r>
            <w:r>
              <w:rPr>
                <w:rFonts w:hint="eastAsia" w:ascii="宋体" w:hAnsi="宋体"/>
                <w:sz w:val="24"/>
                <w:vertAlign w:val="superscript"/>
              </w:rPr>
              <w:t>3</w:t>
            </w:r>
            <w:r>
              <w:rPr>
                <w:rFonts w:hint="eastAsia" w:ascii="宋体" w:hAnsi="宋体"/>
                <w:sz w:val="24"/>
              </w:rPr>
              <w:t>/h、N=3kW、M=110kg及配套管道、阀门等设施</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1548" w:hRule="atLeast"/>
        </w:trPr>
        <w:tc>
          <w:tcPr>
            <w:tcW w:w="724" w:type="dxa"/>
            <w:vMerge w:val="continue"/>
            <w:tcBorders>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462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污泥池污泥泵：口径Ф65mm、H=20m、Q=25m</w:t>
            </w:r>
            <w:r>
              <w:rPr>
                <w:rFonts w:hint="eastAsia" w:ascii="宋体" w:hAnsi="宋体"/>
                <w:sz w:val="24"/>
                <w:vertAlign w:val="superscript"/>
              </w:rPr>
              <w:t>3</w:t>
            </w:r>
            <w:r>
              <w:rPr>
                <w:rFonts w:hint="eastAsia" w:ascii="宋体" w:hAnsi="宋体"/>
                <w:sz w:val="24"/>
              </w:rPr>
              <w:t>/h、N=4kW、M=120kg</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highlight w:val="cyan"/>
              </w:rPr>
            </w:pPr>
            <w:r>
              <w:rPr>
                <w:rFonts w:hint="eastAsia" w:ascii="宋体" w:hAnsi="宋体"/>
                <w:sz w:val="24"/>
                <w:highlight w:val="none"/>
              </w:rPr>
              <w:t>潜水泥沙泵</w:t>
            </w:r>
          </w:p>
        </w:tc>
      </w:tr>
      <w:tr>
        <w:tblPrEx>
          <w:tblCellMar>
            <w:top w:w="57" w:type="dxa"/>
            <w:left w:w="85" w:type="dxa"/>
            <w:bottom w:w="57" w:type="dxa"/>
            <w:right w:w="85" w:type="dxa"/>
          </w:tblCellMar>
        </w:tblPrEx>
        <w:trPr>
          <w:trHeight w:val="592"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462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清洗水槽、工器具置物架等</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套</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1447" w:type="dxa"/>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r>
              <w:rPr>
                <w:rFonts w:hint="eastAsia" w:ascii="宋体" w:hAnsi="宋体"/>
                <w:sz w:val="24"/>
              </w:rPr>
              <w:t>池顶开孔</w:t>
            </w: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沉淀池顶部开孔500mm*500mm</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孔</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注：1、污泥池管道疏通、污泥泵、阀门及配件更换后应确保污泥外排设施正常使用，污泥泵应采用不锈钢软管连接。</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2、沉淀池污泥泵及配套设施安装完成后应确保沉淀池污泥能正常排入污泥池。</w:t>
      </w:r>
    </w:p>
    <w:p>
      <w:pPr>
        <w:spacing w:line="360" w:lineRule="auto"/>
        <w:ind w:firstLine="482" w:firstLineChars="200"/>
        <w:rPr>
          <w:rFonts w:ascii="宋体" w:hAnsi="宋体"/>
          <w:b/>
          <w:sz w:val="24"/>
        </w:rPr>
      </w:pPr>
      <w:r>
        <w:rPr>
          <w:rFonts w:hint="eastAsia" w:asciiTheme="minorEastAsia" w:hAnsiTheme="minorEastAsia" w:eastAsiaTheme="minorEastAsia"/>
          <w:b/>
          <w:sz w:val="24"/>
        </w:rPr>
        <w:t>3、沉淀池应配置1座小型移动式龙门架和0.5t手动葫芦，方便污泥泵上下、进出沉淀池。</w:t>
      </w:r>
    </w:p>
    <w:p>
      <w:pPr>
        <w:spacing w:line="360" w:lineRule="auto"/>
        <w:ind w:firstLine="482" w:firstLineChars="200"/>
        <w:rPr>
          <w:rFonts w:ascii="宋体" w:hAnsi="宋体" w:cs="宋体"/>
          <w:sz w:val="24"/>
        </w:rPr>
      </w:pPr>
      <w:r>
        <w:rPr>
          <w:rFonts w:hint="eastAsia" w:ascii="宋体" w:hAnsi="宋体"/>
          <w:b/>
          <w:sz w:val="24"/>
        </w:rPr>
        <w:t>三、服务要求</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供应商对采购人污水处理站沉淀池进行疏通、清淤服务，确保池内污泥彻底清理，清理出的污泥、垃圾等均由供应商负责无害化规范处理。</w:t>
      </w:r>
    </w:p>
    <w:p>
      <w:pPr>
        <w:numPr>
          <w:ilvl w:val="0"/>
          <w:numId w:val="4"/>
        </w:numPr>
        <w:snapToGrid w:val="0"/>
        <w:spacing w:line="360" w:lineRule="auto"/>
        <w:ind w:firstLine="480" w:firstLineChars="200"/>
        <w:rPr>
          <w:rFonts w:ascii="宋体" w:hAnsi="宋体"/>
          <w:sz w:val="24"/>
        </w:rPr>
      </w:pPr>
      <w:r>
        <w:rPr>
          <w:rFonts w:hint="eastAsia" w:ascii="宋体" w:hAnsi="宋体"/>
          <w:sz w:val="24"/>
        </w:rPr>
        <w:t>清淤工作为狭小密闭空间内作业，供应商应制定详细的清淤方案和安全保护方案、措施确保施工顺利、安全。</w:t>
      </w:r>
    </w:p>
    <w:p>
      <w:pPr>
        <w:snapToGrid w:val="0"/>
        <w:spacing w:line="360" w:lineRule="auto"/>
        <w:ind w:firstLine="480" w:firstLineChars="200"/>
        <w:rPr>
          <w:rFonts w:ascii="宋体" w:hAnsi="宋体" w:cs="宋体"/>
          <w:sz w:val="24"/>
        </w:rPr>
      </w:pPr>
      <w:r>
        <w:rPr>
          <w:rFonts w:hint="eastAsia" w:ascii="宋体" w:hAnsi="宋体"/>
          <w:sz w:val="24"/>
        </w:rPr>
        <w:t>3、供应商应制定确保清淤工作顺利完成的保障措施，当需要人工进入池内清淤作业时，应事先进行有毒有害气体检测，确保安全后穿戴相关防护用品方能进入。</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4、供应商对违法操作、危险操作、不具有操作证的工作人员应立即停止其工作并严肃处理，如因供应商过错或未及时整改而发生严重影响采购人信誉事件，采购人有权立即终止本协议并要求赔偿相关损失。</w:t>
      </w:r>
    </w:p>
    <w:p>
      <w:pPr>
        <w:snapToGrid w:val="0"/>
        <w:spacing w:before="120" w:beforeLines="50" w:line="360" w:lineRule="auto"/>
        <w:ind w:firstLine="480" w:firstLineChars="200"/>
        <w:rPr>
          <w:rFonts w:ascii="宋体" w:hAnsi="宋体"/>
          <w:sz w:val="24"/>
        </w:rPr>
      </w:pPr>
      <w:r>
        <w:rPr>
          <w:rFonts w:hint="eastAsia" w:ascii="宋体" w:hAnsi="宋体"/>
          <w:sz w:val="24"/>
        </w:rPr>
        <w:t>5、清淤工作期间供应商应采取废水处理临时保障措施，确保清淤期间医院废水处理后符合《医疗机构水污染排放标准》（GB18466-2005），该费用包含在报价中。</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6、供应商清淤并运输处理完成后通知采购人进行验收，若不符合标准，供应商应进行二次清淤工作，直至符合标准为止。</w:t>
      </w:r>
    </w:p>
    <w:p>
      <w:pPr>
        <w:pStyle w:val="2"/>
        <w:spacing w:before="120"/>
        <w:ind w:firstLine="480" w:firstLineChars="200"/>
        <w:rPr>
          <w:sz w:val="24"/>
        </w:rPr>
      </w:pPr>
      <w:r>
        <w:rPr>
          <w:rFonts w:hint="eastAsia"/>
          <w:sz w:val="24"/>
        </w:rPr>
        <w:t>7、因供应商管理不善和违规作业造成的安全事故由供应商自行承担责任。</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8、外排污泥采用专业作业车进行脱水盛装。</w:t>
      </w:r>
    </w:p>
    <w:p>
      <w:pPr>
        <w:snapToGrid w:val="0"/>
        <w:spacing w:before="120" w:beforeLines="50" w:line="360" w:lineRule="auto"/>
        <w:ind w:firstLine="480" w:firstLineChars="200"/>
        <w:rPr>
          <w:rFonts w:ascii="宋体" w:hAnsi="宋体"/>
          <w:sz w:val="24"/>
        </w:rPr>
      </w:pPr>
      <w:r>
        <w:rPr>
          <w:rFonts w:hint="eastAsia" w:ascii="宋体" w:hAnsi="宋体"/>
          <w:sz w:val="24"/>
        </w:rPr>
        <w:t>9、由供应商更换的设备设施，质保期不得少于</w:t>
      </w:r>
      <w:r>
        <w:rPr>
          <w:rFonts w:ascii="宋体" w:hAnsi="宋体"/>
          <w:sz w:val="24"/>
        </w:rPr>
        <w:t>2</w:t>
      </w:r>
      <w:r>
        <w:rPr>
          <w:rFonts w:hint="eastAsia" w:ascii="宋体" w:hAnsi="宋体"/>
          <w:sz w:val="24"/>
        </w:rPr>
        <w:t>年。</w:t>
      </w:r>
    </w:p>
    <w:p>
      <w:pPr>
        <w:pStyle w:val="2"/>
        <w:snapToGrid w:val="0"/>
        <w:spacing w:before="120" w:beforeLines="50" w:line="360" w:lineRule="auto"/>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、质保期内如存在设备设施破损需要维修等，维修更换费用已包含在合同总价中。</w:t>
      </w:r>
    </w:p>
    <w:p>
      <w:pPr>
        <w:adjustRightInd w:val="0"/>
        <w:snapToGrid w:val="0"/>
        <w:spacing w:line="360" w:lineRule="auto"/>
        <w:ind w:left="105" w:leftChars="50" w:firstLine="361" w:firstLineChars="150"/>
        <w:rPr>
          <w:rFonts w:ascii="宋体" w:hAnsi="宋体" w:cs="宋体"/>
          <w:b/>
          <w:bCs/>
          <w:color w:val="000000"/>
          <w:sz w:val="24"/>
          <w:szCs w:val="20"/>
          <w:highlight w:val="yellow"/>
        </w:rPr>
      </w:pPr>
      <w:r>
        <w:rPr>
          <w:rFonts w:hint="eastAsia" w:ascii="宋体" w:hAnsi="宋体" w:cs="宋体"/>
          <w:b/>
          <w:bCs/>
          <w:color w:val="000000"/>
          <w:sz w:val="24"/>
          <w:szCs w:val="20"/>
        </w:rPr>
        <w:t>四、</w:t>
      </w:r>
      <w:r>
        <w:rPr>
          <w:rFonts w:hint="eastAsia" w:ascii="宋体" w:hAnsi="宋体" w:cs="宋体"/>
          <w:b/>
          <w:bCs/>
          <w:color w:val="000000"/>
          <w:sz w:val="24"/>
          <w:szCs w:val="20"/>
          <w:highlight w:val="none"/>
        </w:rPr>
        <w:t>付款方式</w:t>
      </w:r>
    </w:p>
    <w:p>
      <w:pPr>
        <w:snapToGrid w:val="0"/>
        <w:spacing w:line="360" w:lineRule="auto"/>
        <w:ind w:firstLine="480" w:firstLineChars="200"/>
        <w:rPr>
          <w:rFonts w:ascii="宋体" w:hAnsi="宋体"/>
          <w:sz w:val="24"/>
        </w:rPr>
      </w:pPr>
      <w:r>
        <w:rPr>
          <w:rFonts w:hint="eastAsia" w:ascii="宋体" w:hAnsi="宋体"/>
          <w:sz w:val="24"/>
        </w:rPr>
        <w:t>项目完成并经采购人验收合格后，供应商凭验收单和正规的等额发票向采购人提出结算申请，采购人收到发票后30个工作日内付款。</w:t>
      </w:r>
    </w:p>
    <w:p>
      <w:pPr>
        <w:numPr>
          <w:ilvl w:val="0"/>
          <w:numId w:val="5"/>
        </w:numPr>
        <w:adjustRightInd w:val="0"/>
        <w:snapToGrid w:val="0"/>
        <w:spacing w:line="360" w:lineRule="auto"/>
        <w:ind w:firstLine="482" w:firstLineChars="200"/>
        <w:rPr>
          <w:rFonts w:ascii="宋体" w:hAnsi="宋体" w:cs="宋体"/>
          <w:b/>
          <w:bCs/>
          <w:color w:val="000000"/>
          <w:sz w:val="24"/>
          <w:szCs w:val="20"/>
        </w:rPr>
      </w:pPr>
      <w:r>
        <w:rPr>
          <w:rFonts w:hint="eastAsia" w:ascii="宋体" w:hAnsi="宋体" w:cs="宋体"/>
          <w:b/>
          <w:bCs/>
          <w:color w:val="000000"/>
          <w:sz w:val="24"/>
          <w:szCs w:val="20"/>
        </w:rPr>
        <w:t>本章未尽事宜详见“第五章  合同主要条款”。</w:t>
      </w:r>
      <w:bookmarkStart w:id="44" w:name="_Toc482204281"/>
    </w:p>
    <w:p>
      <w:pPr>
        <w:pStyle w:val="2"/>
        <w:ind w:firstLine="0" w:firstLineChars="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Pr>
        <w:pStyle w:val="2"/>
        <w:ind w:firstLine="280"/>
      </w:pPr>
    </w:p>
    <w:p/>
    <w:p>
      <w:pPr>
        <w:pStyle w:val="2"/>
        <w:ind w:firstLine="280"/>
      </w:pPr>
    </w:p>
    <w:p/>
    <w:p/>
    <w:p>
      <w:pPr>
        <w:pStyle w:val="16"/>
        <w:spacing w:before="120" w:beforeLines="50" w:after="120" w:afterLines="50" w:line="360" w:lineRule="auto"/>
        <w:ind w:firstLine="586" w:firstLineChars="200"/>
        <w:jc w:val="center"/>
        <w:rPr>
          <w:rFonts w:hAnsi="宋体"/>
          <w:b/>
          <w:sz w:val="24"/>
        </w:rPr>
      </w:pPr>
      <w:r>
        <w:rPr>
          <w:rFonts w:hint="eastAsia" w:hAnsi="宋体"/>
          <w:b/>
          <w:sz w:val="30"/>
          <w:szCs w:val="30"/>
        </w:rPr>
        <w:t>第五章  合同主要条款</w:t>
      </w:r>
      <w:bookmarkEnd w:id="44"/>
    </w:p>
    <w:p>
      <w:pPr>
        <w:spacing w:line="360" w:lineRule="auto"/>
        <w:jc w:val="center"/>
        <w:rPr>
          <w:rFonts w:ascii="宋体" w:hAnsi="宋体"/>
          <w:b/>
          <w:sz w:val="30"/>
          <w:szCs w:val="30"/>
        </w:rPr>
      </w:pPr>
      <w:r>
        <w:rPr>
          <w:rFonts w:hint="eastAsia" w:ascii="宋体" w:hAnsi="宋体"/>
          <w:b/>
          <w:sz w:val="30"/>
          <w:szCs w:val="30"/>
        </w:rPr>
        <w:t>（最终以双方签字盖章的合同文本为准）</w:t>
      </w:r>
    </w:p>
    <w:p>
      <w:pPr>
        <w:spacing w:line="360" w:lineRule="auto"/>
        <w:ind w:firstLine="602" w:firstLineChars="200"/>
        <w:jc w:val="center"/>
        <w:outlineLvl w:val="0"/>
        <w:rPr>
          <w:rFonts w:ascii="宋体" w:hAnsi="宋体" w:cs="宋体"/>
          <w:b/>
          <w:bCs/>
          <w:sz w:val="30"/>
          <w:szCs w:val="30"/>
          <w:u w:val="single"/>
        </w:rPr>
      </w:pPr>
      <w:bookmarkStart w:id="45" w:name="_Toc297048393"/>
      <w:bookmarkEnd w:id="45"/>
      <w:bookmarkStart w:id="46" w:name="_Toc297216213"/>
      <w:bookmarkEnd w:id="46"/>
      <w:bookmarkStart w:id="47" w:name="_Toc300935006"/>
      <w:bookmarkEnd w:id="47"/>
      <w:bookmarkStart w:id="48" w:name="_Toc297120506"/>
      <w:bookmarkEnd w:id="48"/>
      <w:bookmarkStart w:id="49" w:name="_Toc292559916"/>
      <w:bookmarkEnd w:id="49"/>
      <w:bookmarkStart w:id="50" w:name="_Toc292559917"/>
      <w:bookmarkEnd w:id="50"/>
      <w:bookmarkStart w:id="51" w:name="_Toc351203636"/>
      <w:bookmarkEnd w:id="51"/>
      <w:bookmarkStart w:id="52" w:name="_Toc351203644"/>
      <w:bookmarkEnd w:id="52"/>
      <w:bookmarkStart w:id="53" w:name="_Toc304295579"/>
      <w:bookmarkEnd w:id="53"/>
      <w:bookmarkStart w:id="54" w:name="_Toc312678024"/>
      <w:bookmarkEnd w:id="54"/>
      <w:bookmarkStart w:id="55" w:name="_Toc296891034"/>
      <w:bookmarkEnd w:id="55"/>
      <w:bookmarkStart w:id="56" w:name="_Toc300935003"/>
      <w:bookmarkEnd w:id="56"/>
      <w:bookmarkStart w:id="57" w:name="_Toc351203640"/>
      <w:bookmarkEnd w:id="57"/>
      <w:bookmarkStart w:id="58" w:name="_Toc103956895"/>
      <w:bookmarkEnd w:id="58"/>
      <w:bookmarkStart w:id="59" w:name="_Toc297123556"/>
      <w:bookmarkEnd w:id="59"/>
      <w:bookmarkStart w:id="60" w:name="_Toc297120505"/>
      <w:bookmarkEnd w:id="60"/>
      <w:bookmarkStart w:id="61" w:name="_Toc318581157"/>
      <w:bookmarkEnd w:id="61"/>
      <w:bookmarkStart w:id="62" w:name="_Toc303539161"/>
      <w:bookmarkEnd w:id="62"/>
      <w:bookmarkStart w:id="63" w:name="_Toc304295581"/>
      <w:bookmarkEnd w:id="63"/>
      <w:bookmarkStart w:id="64" w:name="_Toc297120507"/>
      <w:bookmarkEnd w:id="64"/>
      <w:bookmarkStart w:id="65" w:name="_Toc297216215"/>
      <w:bookmarkEnd w:id="65"/>
      <w:bookmarkStart w:id="66" w:name="_Toc296346708"/>
      <w:bookmarkEnd w:id="66"/>
      <w:bookmarkStart w:id="67" w:name="_Toc296503207"/>
      <w:bookmarkEnd w:id="67"/>
      <w:bookmarkStart w:id="68" w:name="_Toc297048392"/>
      <w:bookmarkEnd w:id="68"/>
      <w:bookmarkStart w:id="69" w:name="_Toc280868704"/>
      <w:bookmarkEnd w:id="69"/>
      <w:bookmarkStart w:id="70" w:name="_Toc296347218"/>
      <w:bookmarkEnd w:id="70"/>
      <w:bookmarkStart w:id="71" w:name="_Toc304295596"/>
      <w:bookmarkEnd w:id="71"/>
      <w:bookmarkStart w:id="72" w:name="_Toc292559929"/>
      <w:bookmarkEnd w:id="72"/>
      <w:bookmarkStart w:id="73" w:name="_Toc303539173"/>
      <w:bookmarkEnd w:id="73"/>
      <w:bookmarkStart w:id="74" w:name="_Toc312678053"/>
      <w:bookmarkEnd w:id="74"/>
      <w:bookmarkStart w:id="75" w:name="_Toc292559416"/>
      <w:bookmarkEnd w:id="75"/>
      <w:bookmarkStart w:id="76" w:name="_Toc300935016"/>
      <w:bookmarkEnd w:id="76"/>
      <w:bookmarkStart w:id="77" w:name="_Toc297216224"/>
      <w:bookmarkEnd w:id="77"/>
      <w:bookmarkStart w:id="78" w:name="_Toc296891039"/>
      <w:bookmarkEnd w:id="78"/>
      <w:bookmarkStart w:id="79" w:name="_Toc297123565"/>
      <w:bookmarkEnd w:id="79"/>
      <w:bookmarkStart w:id="80" w:name="_Toc267251485"/>
      <w:bookmarkEnd w:id="80"/>
      <w:bookmarkStart w:id="81" w:name="_Toc267251491"/>
      <w:bookmarkEnd w:id="81"/>
      <w:bookmarkStart w:id="82" w:name="_Toc280868705"/>
      <w:bookmarkEnd w:id="82"/>
      <w:bookmarkStart w:id="83" w:name="_Toc280868709"/>
      <w:bookmarkEnd w:id="83"/>
      <w:bookmarkStart w:id="84" w:name="_Toc351203649"/>
      <w:bookmarkEnd w:id="84"/>
      <w:bookmarkStart w:id="85" w:name="_Toc351203651"/>
      <w:bookmarkEnd w:id="85"/>
      <w:bookmarkStart w:id="86" w:name="_Toc296347222"/>
      <w:bookmarkEnd w:id="86"/>
      <w:bookmarkStart w:id="87" w:name="_Toc267251515"/>
      <w:bookmarkEnd w:id="87"/>
      <w:bookmarkStart w:id="88" w:name="_Toc267251513"/>
      <w:bookmarkEnd w:id="88"/>
      <w:bookmarkStart w:id="89" w:name="_Toc267251506"/>
      <w:bookmarkEnd w:id="89"/>
      <w:bookmarkStart w:id="90" w:name="_Toc280868706"/>
      <w:bookmarkEnd w:id="90"/>
      <w:bookmarkStart w:id="91" w:name="_Toc280868717"/>
      <w:bookmarkEnd w:id="91"/>
      <w:bookmarkStart w:id="92" w:name="_Toc267251492"/>
      <w:bookmarkEnd w:id="92"/>
      <w:bookmarkStart w:id="93" w:name="_Toc267251493"/>
      <w:bookmarkEnd w:id="93"/>
      <w:bookmarkStart w:id="94" w:name="_Toc267251486"/>
      <w:bookmarkEnd w:id="94"/>
      <w:bookmarkStart w:id="95" w:name="_Toc267251495"/>
      <w:bookmarkEnd w:id="95"/>
      <w:bookmarkStart w:id="96" w:name="_Toc267251501"/>
      <w:bookmarkEnd w:id="96"/>
      <w:bookmarkStart w:id="97" w:name="_Toc267251503"/>
      <w:bookmarkEnd w:id="97"/>
      <w:bookmarkStart w:id="98" w:name="_Toc267251511"/>
      <w:bookmarkEnd w:id="98"/>
      <w:bookmarkStart w:id="99" w:name="_Toc296346724"/>
      <w:bookmarkEnd w:id="99"/>
      <w:bookmarkStart w:id="100" w:name="_Toc267251488"/>
      <w:bookmarkEnd w:id="100"/>
      <w:bookmarkStart w:id="101" w:name="_Toc267251470"/>
      <w:bookmarkEnd w:id="101"/>
      <w:bookmarkStart w:id="102" w:name="_Toc267251474"/>
      <w:bookmarkEnd w:id="102"/>
      <w:bookmarkStart w:id="103" w:name="_Toc292559933"/>
      <w:bookmarkEnd w:id="103"/>
      <w:bookmarkStart w:id="104" w:name="_Toc292559428"/>
      <w:bookmarkEnd w:id="104"/>
      <w:bookmarkStart w:id="105" w:name="_Toc267251509"/>
      <w:bookmarkEnd w:id="105"/>
      <w:bookmarkStart w:id="106" w:name="_Toc267251497"/>
      <w:bookmarkEnd w:id="106"/>
      <w:bookmarkStart w:id="107" w:name="_Toc267251473"/>
      <w:bookmarkEnd w:id="107"/>
      <w:bookmarkStart w:id="108" w:name="_Toc296503223"/>
      <w:bookmarkEnd w:id="108"/>
      <w:bookmarkStart w:id="109" w:name="_Toc267251489"/>
      <w:bookmarkEnd w:id="109"/>
      <w:bookmarkStart w:id="110" w:name="_Toc267251475"/>
      <w:bookmarkEnd w:id="110"/>
      <w:bookmarkStart w:id="111" w:name="_Toc267251496"/>
      <w:bookmarkEnd w:id="111"/>
      <w:bookmarkStart w:id="112" w:name="_Toc267251494"/>
      <w:bookmarkEnd w:id="112"/>
      <w:bookmarkStart w:id="113" w:name="_Toc267251499"/>
      <w:bookmarkEnd w:id="113"/>
      <w:bookmarkStart w:id="114" w:name="_Toc267251484"/>
      <w:bookmarkEnd w:id="114"/>
      <w:bookmarkStart w:id="115" w:name="_Toc351203650"/>
      <w:bookmarkEnd w:id="115"/>
      <w:bookmarkStart w:id="116" w:name="_Toc267251502"/>
      <w:bookmarkEnd w:id="116"/>
      <w:bookmarkStart w:id="117" w:name="_Toc267251514"/>
      <w:bookmarkEnd w:id="117"/>
      <w:bookmarkStart w:id="118" w:name="_Toc280868707"/>
      <w:bookmarkEnd w:id="118"/>
      <w:bookmarkStart w:id="119" w:name="_Toc280868708"/>
      <w:bookmarkEnd w:id="119"/>
      <w:bookmarkStart w:id="120" w:name="_Toc267251490"/>
      <w:bookmarkEnd w:id="120"/>
      <w:bookmarkStart w:id="121" w:name="_Toc280868718"/>
      <w:bookmarkEnd w:id="121"/>
      <w:bookmarkStart w:id="122" w:name="_Toc267251507"/>
      <w:bookmarkEnd w:id="122"/>
      <w:bookmarkStart w:id="123" w:name="_Toc267251504"/>
      <w:bookmarkEnd w:id="123"/>
      <w:bookmarkStart w:id="124" w:name="_Toc267251482"/>
      <w:bookmarkEnd w:id="124"/>
      <w:bookmarkStart w:id="125" w:name="_Toc351203646"/>
      <w:bookmarkEnd w:id="125"/>
      <w:bookmarkStart w:id="126" w:name="_Toc351203648"/>
      <w:bookmarkEnd w:id="126"/>
      <w:bookmarkStart w:id="127" w:name="_Toc312678056"/>
      <w:bookmarkEnd w:id="127"/>
      <w:bookmarkStart w:id="128" w:name="_Toc267251498"/>
      <w:bookmarkEnd w:id="128"/>
      <w:bookmarkStart w:id="129" w:name="_Toc267251483"/>
      <w:bookmarkEnd w:id="129"/>
      <w:bookmarkStart w:id="130" w:name="_Toc267251476"/>
      <w:bookmarkEnd w:id="130"/>
      <w:bookmarkStart w:id="131" w:name="_Toc267251510"/>
      <w:bookmarkEnd w:id="131"/>
      <w:bookmarkStart w:id="132" w:name="_Toc267251508"/>
      <w:bookmarkEnd w:id="132"/>
      <w:bookmarkStart w:id="133" w:name="_Toc267251471"/>
      <w:bookmarkEnd w:id="133"/>
      <w:bookmarkStart w:id="134" w:name="_Toc292559424"/>
      <w:bookmarkEnd w:id="134"/>
      <w:bookmarkStart w:id="135" w:name="_Toc351203645"/>
      <w:bookmarkEnd w:id="135"/>
      <w:bookmarkStart w:id="136" w:name="_Toc296944558"/>
      <w:bookmarkEnd w:id="136"/>
      <w:bookmarkStart w:id="137" w:name="_Toc296346720"/>
      <w:bookmarkEnd w:id="137"/>
      <w:bookmarkStart w:id="138" w:name="_Toc296347210"/>
      <w:bookmarkEnd w:id="138"/>
      <w:bookmarkStart w:id="139" w:name="_Toc297216223"/>
      <w:bookmarkEnd w:id="139"/>
      <w:bookmarkStart w:id="140" w:name="_Toc297048405"/>
      <w:bookmarkEnd w:id="140"/>
      <w:bookmarkStart w:id="141" w:name="_Toc296891251"/>
      <w:bookmarkEnd w:id="141"/>
      <w:bookmarkStart w:id="142" w:name="_Toc296503211"/>
      <w:bookmarkEnd w:id="142"/>
      <w:bookmarkStart w:id="143" w:name="_Toc300935015"/>
      <w:bookmarkEnd w:id="143"/>
      <w:bookmarkStart w:id="144" w:name="_Toc296346712"/>
      <w:bookmarkEnd w:id="144"/>
      <w:bookmarkStart w:id="145" w:name="_Toc296891047"/>
      <w:bookmarkEnd w:id="145"/>
      <w:bookmarkStart w:id="146" w:name="_Toc296891263"/>
      <w:bookmarkEnd w:id="146"/>
      <w:bookmarkStart w:id="147" w:name="_Toc296891051"/>
      <w:bookmarkEnd w:id="147"/>
      <w:bookmarkStart w:id="148" w:name="_Toc296944562"/>
      <w:bookmarkEnd w:id="148"/>
      <w:bookmarkStart w:id="149" w:name="_Toc304295593"/>
      <w:bookmarkEnd w:id="149"/>
      <w:bookmarkStart w:id="150" w:name="_Toc297123564"/>
      <w:bookmarkEnd w:id="150"/>
      <w:bookmarkStart w:id="151" w:name="_Toc297120523"/>
      <w:bookmarkEnd w:id="151"/>
      <w:bookmarkStart w:id="152" w:name="_Toc297048409"/>
      <w:bookmarkEnd w:id="152"/>
      <w:bookmarkStart w:id="153" w:name="_Toc296891259"/>
      <w:bookmarkEnd w:id="153"/>
      <w:bookmarkStart w:id="154" w:name="_Toc296503219"/>
      <w:bookmarkEnd w:id="154"/>
      <w:bookmarkStart w:id="155" w:name="_Toc303539172"/>
      <w:bookmarkEnd w:id="155"/>
      <w:bookmarkStart w:id="156" w:name="_Toc318581172"/>
      <w:bookmarkEnd w:id="156"/>
      <w:bookmarkStart w:id="157" w:name="_Toc351203637"/>
      <w:bookmarkEnd w:id="157"/>
      <w:bookmarkStart w:id="158" w:name="_Toc296891033"/>
      <w:bookmarkEnd w:id="158"/>
      <w:bookmarkStart w:id="159" w:name="_Toc304295550"/>
      <w:bookmarkEnd w:id="159"/>
      <w:bookmarkStart w:id="160" w:name="_Toc297123552"/>
      <w:bookmarkEnd w:id="160"/>
      <w:bookmarkStart w:id="161" w:name="_Toc404281829"/>
      <w:bookmarkEnd w:id="161"/>
      <w:bookmarkStart w:id="162" w:name="_Toc364851347"/>
      <w:bookmarkEnd w:id="162"/>
      <w:bookmarkStart w:id="163" w:name="_Toc351203634"/>
      <w:bookmarkEnd w:id="163"/>
      <w:bookmarkStart w:id="164" w:name="_Toc312678016"/>
      <w:bookmarkEnd w:id="164"/>
      <w:bookmarkStart w:id="165" w:name="_Toc303539160"/>
      <w:bookmarkEnd w:id="165"/>
      <w:bookmarkStart w:id="166" w:name="_Toc351203633"/>
      <w:bookmarkEnd w:id="166"/>
      <w:bookmarkStart w:id="167" w:name="_Toc296891246"/>
      <w:bookmarkEnd w:id="167"/>
      <w:bookmarkStart w:id="168" w:name="_Toc300934972"/>
      <w:bookmarkEnd w:id="168"/>
      <w:bookmarkStart w:id="169" w:name="_Toc292559411"/>
      <w:bookmarkEnd w:id="169"/>
      <w:bookmarkStart w:id="170" w:name="_Toc351203643"/>
      <w:bookmarkEnd w:id="170"/>
      <w:bookmarkStart w:id="171" w:name="_Toc351203639"/>
      <w:bookmarkEnd w:id="171"/>
      <w:bookmarkStart w:id="172" w:name="_Toc297123520"/>
      <w:bookmarkEnd w:id="172"/>
      <w:bookmarkStart w:id="173" w:name="_Toc303539159"/>
      <w:bookmarkEnd w:id="173"/>
      <w:bookmarkStart w:id="174" w:name="_Toc297123553"/>
      <w:bookmarkEnd w:id="174"/>
      <w:bookmarkStart w:id="175" w:name="_Toc303539163"/>
      <w:bookmarkEnd w:id="175"/>
      <w:bookmarkStart w:id="176" w:name="_Toc296944544"/>
      <w:bookmarkEnd w:id="176"/>
      <w:bookmarkStart w:id="177" w:name="_Toc296347204"/>
      <w:bookmarkEnd w:id="177"/>
      <w:bookmarkStart w:id="178" w:name="_Toc297216212"/>
      <w:bookmarkEnd w:id="178"/>
      <w:bookmarkStart w:id="179" w:name="_Toc267251418"/>
      <w:bookmarkEnd w:id="179"/>
      <w:bookmarkStart w:id="180" w:name="_Toc296503206"/>
      <w:bookmarkEnd w:id="180"/>
      <w:bookmarkStart w:id="181" w:name="_Toc292559410"/>
      <w:bookmarkEnd w:id="181"/>
      <w:bookmarkStart w:id="182" w:name="_Toc351203635"/>
      <w:bookmarkEnd w:id="182"/>
      <w:bookmarkStart w:id="183" w:name="_Toc351203638"/>
      <w:bookmarkEnd w:id="183"/>
      <w:bookmarkStart w:id="184" w:name="_Toc353493426"/>
      <w:bookmarkEnd w:id="184"/>
      <w:bookmarkStart w:id="185" w:name="_Toc312678041"/>
      <w:bookmarkEnd w:id="185"/>
      <w:bookmarkStart w:id="186" w:name="_Toc297123554"/>
      <w:bookmarkEnd w:id="186"/>
      <w:bookmarkStart w:id="187" w:name="_Toc312678042"/>
      <w:bookmarkEnd w:id="187"/>
      <w:bookmarkStart w:id="188" w:name="_Toc300934985"/>
      <w:bookmarkEnd w:id="188"/>
      <w:bookmarkStart w:id="189" w:name="_Toc297048397"/>
      <w:bookmarkEnd w:id="189"/>
      <w:bookmarkStart w:id="190" w:name="_Toc297123536"/>
      <w:bookmarkEnd w:id="190"/>
      <w:bookmarkStart w:id="191" w:name="_Toc303539129"/>
      <w:bookmarkEnd w:id="191"/>
      <w:bookmarkStart w:id="192" w:name="_Toc297120511"/>
      <w:bookmarkEnd w:id="192"/>
      <w:bookmarkStart w:id="193" w:name="_Toc292559921"/>
      <w:bookmarkEnd w:id="193"/>
      <w:bookmarkStart w:id="194" w:name="_Toc296891035"/>
      <w:bookmarkEnd w:id="194"/>
      <w:bookmarkStart w:id="195" w:name="_Toc292559915"/>
      <w:bookmarkEnd w:id="195"/>
      <w:bookmarkStart w:id="196" w:name="_Toc296347206"/>
      <w:bookmarkEnd w:id="196"/>
      <w:bookmarkStart w:id="197" w:name="_Toc351203642"/>
      <w:bookmarkEnd w:id="197"/>
      <w:bookmarkStart w:id="198" w:name="_Toc296944545"/>
      <w:bookmarkEnd w:id="198"/>
      <w:bookmarkStart w:id="199" w:name="_Toc296944546"/>
      <w:bookmarkEnd w:id="199"/>
      <w:bookmarkStart w:id="200" w:name="_Toc267251461"/>
      <w:bookmarkEnd w:id="200"/>
      <w:bookmarkStart w:id="201" w:name="_Toc297216195"/>
      <w:bookmarkEnd w:id="201"/>
      <w:bookmarkStart w:id="202" w:name="_Toc296891247"/>
      <w:bookmarkEnd w:id="202"/>
      <w:bookmarkStart w:id="203" w:name="_Toc304295580"/>
      <w:bookmarkEnd w:id="203"/>
      <w:bookmarkStart w:id="204" w:name="_Toc296503205"/>
      <w:bookmarkEnd w:id="204"/>
      <w:bookmarkStart w:id="205" w:name="_Toc300935004"/>
      <w:bookmarkEnd w:id="205"/>
      <w:bookmarkStart w:id="206" w:name="_Toc351203641"/>
      <w:bookmarkEnd w:id="206"/>
      <w:bookmarkStart w:id="207" w:name="_Toc296891245"/>
      <w:bookmarkEnd w:id="207"/>
      <w:bookmarkStart w:id="208" w:name="_Toc312677498"/>
      <w:bookmarkEnd w:id="208"/>
      <w:bookmarkStart w:id="209" w:name="_Toc297216211"/>
      <w:bookmarkEnd w:id="209"/>
      <w:bookmarkStart w:id="210" w:name="_Toc303539142"/>
      <w:bookmarkEnd w:id="210"/>
      <w:bookmarkStart w:id="211" w:name="_Toc300935002"/>
      <w:bookmarkEnd w:id="211"/>
      <w:bookmarkStart w:id="212" w:name="_Toc304295562"/>
      <w:bookmarkEnd w:id="212"/>
      <w:bookmarkStart w:id="213" w:name="_Toc312678040"/>
      <w:bookmarkEnd w:id="213"/>
      <w:bookmarkStart w:id="214" w:name="_Toc296346706"/>
      <w:bookmarkEnd w:id="214"/>
      <w:bookmarkStart w:id="215" w:name="_Toc296346707"/>
      <w:bookmarkEnd w:id="215"/>
      <w:r>
        <w:rPr>
          <w:rFonts w:hint="eastAsia" w:ascii="宋体" w:hAnsi="宋体" w:cs="宋体"/>
          <w:b/>
          <w:bCs/>
          <w:sz w:val="30"/>
          <w:szCs w:val="30"/>
        </w:rPr>
        <w:t>合同主要条款</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甲方（采购人）：浙江中医药大学附属第二医院</w:t>
      </w:r>
    </w:p>
    <w:p>
      <w:pPr>
        <w:snapToGrid w:val="0"/>
        <w:spacing w:line="360" w:lineRule="auto"/>
        <w:rPr>
          <w:rFonts w:ascii="宋体" w:hAnsi="宋体"/>
          <w:sz w:val="24"/>
          <w:u w:val="single"/>
        </w:rPr>
      </w:pPr>
      <w:r>
        <w:rPr>
          <w:rFonts w:hint="eastAsia" w:ascii="宋体" w:hAnsi="宋体"/>
          <w:sz w:val="24"/>
        </w:rPr>
        <w:t>乙方（供应商）：</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根据</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项目采购结果和采购文件要求，并依照《中华人民共和国民法典》及其他等有关法律、行政法规的规定，同时在平等、公平、诚实和信用的原则下，经双方协商一致，订立本合同。</w:t>
      </w:r>
    </w:p>
    <w:p>
      <w:pPr>
        <w:numPr>
          <w:ilvl w:val="0"/>
          <w:numId w:val="6"/>
        </w:numPr>
        <w:snapToGrid w:val="0"/>
        <w:spacing w:line="360" w:lineRule="auto"/>
        <w:ind w:firstLine="480" w:firstLineChars="200"/>
      </w:pPr>
      <w:r>
        <w:rPr>
          <w:rFonts w:hint="eastAsia" w:ascii="宋体" w:hAnsi="宋体"/>
          <w:sz w:val="24"/>
        </w:rPr>
        <w:t>服务范围：</w:t>
      </w:r>
      <w:r>
        <w:rPr>
          <w:rFonts w:hint="eastAsia" w:ascii="宋体" w:hAnsi="宋体"/>
          <w:sz w:val="24"/>
          <w:u w:val="single"/>
        </w:rPr>
        <w:t xml:space="preserve">           </w:t>
      </w:r>
    </w:p>
    <w:p>
      <w:pPr>
        <w:numPr>
          <w:ilvl w:val="0"/>
          <w:numId w:val="6"/>
        </w:numPr>
        <w:snapToGrid w:val="0"/>
        <w:spacing w:line="360" w:lineRule="auto"/>
        <w:ind w:firstLine="480" w:firstLineChars="200"/>
        <w:jc w:val="left"/>
        <w:rPr>
          <w:rFonts w:ascii="宋体" w:hAnsi="宋体"/>
          <w:sz w:val="24"/>
        </w:rPr>
      </w:pPr>
      <w:r>
        <w:rPr>
          <w:rFonts w:hint="eastAsia" w:ascii="宋体" w:hAnsi="宋体"/>
          <w:sz w:val="24"/>
        </w:rPr>
        <w:t>合同金额：本合同总价为：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pPr>
        <w:snapToGrid w:val="0"/>
        <w:spacing w:line="360" w:lineRule="auto"/>
        <w:ind w:left="420" w:leftChars="200"/>
        <w:jc w:val="left"/>
        <w:rPr>
          <w:rFonts w:ascii="宋体" w:hAnsi="宋体"/>
          <w:sz w:val="24"/>
        </w:rPr>
      </w:pPr>
      <w:r>
        <w:rPr>
          <w:rFonts w:hint="eastAsia" w:ascii="宋体" w:hAnsi="宋体"/>
          <w:sz w:val="24"/>
        </w:rPr>
        <w:t>合同签订时附清单附件。</w:t>
      </w:r>
    </w:p>
    <w:p>
      <w:pPr>
        <w:spacing w:line="360" w:lineRule="auto"/>
        <w:ind w:firstLine="480" w:firstLineChars="200"/>
        <w:rPr>
          <w:rFonts w:ascii="宋体" w:hAnsi="宋体"/>
          <w:sz w:val="24"/>
        </w:rPr>
      </w:pPr>
      <w:r>
        <w:rPr>
          <w:rFonts w:hint="eastAsia" w:ascii="宋体" w:hAnsi="宋体"/>
          <w:sz w:val="24"/>
        </w:rPr>
        <w:t>三、</w:t>
      </w:r>
      <w:r>
        <w:rPr>
          <w:rFonts w:hint="eastAsia" w:ascii="宋体" w:hAnsi="宋体" w:cs="宋体"/>
          <w:sz w:val="24"/>
        </w:rPr>
        <w:t>工期：供应商接到采购人实施通知后</w:t>
      </w:r>
      <w:r>
        <w:rPr>
          <w:rFonts w:hint="eastAsia" w:ascii="宋体" w:hAnsi="宋体" w:cs="宋体"/>
          <w:sz w:val="24"/>
          <w:u w:val="single"/>
        </w:rPr>
        <w:t xml:space="preserve">   7    </w:t>
      </w:r>
      <w:r>
        <w:rPr>
          <w:rFonts w:hint="eastAsia" w:ascii="宋体" w:hAnsi="宋体" w:cs="宋体"/>
          <w:sz w:val="24"/>
        </w:rPr>
        <w:t>天内完工。</w:t>
      </w:r>
    </w:p>
    <w:p>
      <w:pPr>
        <w:snapToGrid w:val="0"/>
        <w:spacing w:line="360" w:lineRule="auto"/>
        <w:ind w:firstLine="480" w:firstLineChars="200"/>
        <w:rPr>
          <w:rFonts w:ascii="宋体" w:hAnsi="宋体"/>
          <w:sz w:val="24"/>
        </w:rPr>
      </w:pPr>
      <w:r>
        <w:rPr>
          <w:rFonts w:hint="eastAsia" w:ascii="宋体" w:hAnsi="宋体"/>
          <w:sz w:val="24"/>
        </w:rPr>
        <w:t>四、质量要求</w:t>
      </w:r>
    </w:p>
    <w:p>
      <w:pPr>
        <w:snapToGrid w:val="0"/>
        <w:spacing w:line="360" w:lineRule="auto"/>
        <w:ind w:firstLine="480" w:firstLineChars="200"/>
        <w:rPr>
          <w:rFonts w:ascii="宋体" w:hAnsi="宋体" w:cs="宋体"/>
          <w:sz w:val="24"/>
        </w:rPr>
      </w:pPr>
      <w:r>
        <w:rPr>
          <w:rFonts w:hint="eastAsia" w:ascii="宋体" w:hAnsi="宋体"/>
          <w:sz w:val="24"/>
        </w:rPr>
        <w:t>1、乙方负责</w:t>
      </w:r>
      <w:r>
        <w:rPr>
          <w:rFonts w:hint="eastAsia" w:ascii="宋体" w:hAnsi="宋体" w:cs="宋体"/>
          <w:sz w:val="24"/>
        </w:rPr>
        <w:t>对污水处理站沉淀池进行疏通、清淤服务，确保池内污泥彻底清理，清理出的污泥、垃圾等均由供应商负责无害化规范处理。</w:t>
      </w:r>
    </w:p>
    <w:p>
      <w:pPr>
        <w:numPr>
          <w:ilvl w:val="255"/>
          <w:numId w:val="0"/>
        </w:numPr>
        <w:snapToGrid w:val="0"/>
        <w:spacing w:line="360" w:lineRule="auto"/>
        <w:ind w:firstLine="480" w:firstLineChars="200"/>
        <w:rPr>
          <w:rFonts w:ascii="宋体" w:hAnsi="宋体"/>
          <w:sz w:val="24"/>
        </w:rPr>
      </w:pPr>
      <w:r>
        <w:rPr>
          <w:rFonts w:hint="eastAsia" w:ascii="宋体" w:hAnsi="宋体"/>
          <w:sz w:val="24"/>
        </w:rPr>
        <w:t>2、清淤工作为狭小密闭空间内作业，乙方制定详细的清淤方案和安全保护方案、措施确保施工顺利、安全。因乙方服务、管理不善造成人员伤亡事故，由乙方承担责任。。</w:t>
      </w:r>
    </w:p>
    <w:p>
      <w:pPr>
        <w:snapToGrid w:val="0"/>
        <w:spacing w:line="360" w:lineRule="auto"/>
        <w:ind w:firstLine="480" w:firstLineChars="200"/>
        <w:rPr>
          <w:rFonts w:ascii="宋体" w:hAnsi="宋体" w:cs="宋体"/>
          <w:sz w:val="24"/>
        </w:rPr>
      </w:pPr>
      <w:r>
        <w:rPr>
          <w:rFonts w:hint="eastAsia" w:ascii="宋体" w:hAnsi="宋体"/>
          <w:sz w:val="24"/>
        </w:rPr>
        <w:t>3、乙方应制定确保清淤工作顺利完成的保障措施，当需要人工进入池内清淤作业时，应事先进行有毒有害气体检测，确保安全后穿戴相关防护用品方能进入。</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4、乙方对违法操作、危险操作、不具有操作证的工作人员应立即停止其工作并严肃处理，如因乙方过错或未及时整改而发生严重影响采购人信誉事件，采购人有权立即终止本协议并要求赔偿相关损失。</w:t>
      </w:r>
    </w:p>
    <w:p>
      <w:pPr>
        <w:snapToGrid w:val="0"/>
        <w:spacing w:before="120" w:beforeLines="50" w:line="360" w:lineRule="auto"/>
        <w:ind w:firstLine="480" w:firstLineChars="200"/>
        <w:rPr>
          <w:rFonts w:ascii="宋体" w:hAnsi="宋体"/>
          <w:sz w:val="24"/>
        </w:rPr>
      </w:pPr>
      <w:r>
        <w:rPr>
          <w:rFonts w:hint="eastAsia" w:ascii="宋体" w:hAnsi="宋体"/>
          <w:sz w:val="24"/>
        </w:rPr>
        <w:t>5、清淤工作期间乙方应采取废水处理临时保障措施，确保清淤期间医院废水处理后符合《医疗机构水污染排放标准》（GB18466-2005），该费用包含在报价中。。</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6、乙方清淤并运输处理完成后通知甲方进行验收，若不符合标准，乙方应进行二次清淤工作，直至符合标准为止。</w:t>
      </w:r>
    </w:p>
    <w:p>
      <w:pPr>
        <w:pStyle w:val="2"/>
        <w:spacing w:before="120"/>
        <w:ind w:firstLine="480" w:firstLineChars="200"/>
        <w:rPr>
          <w:sz w:val="24"/>
        </w:rPr>
      </w:pPr>
      <w:r>
        <w:rPr>
          <w:rFonts w:hint="eastAsia"/>
          <w:sz w:val="24"/>
        </w:rPr>
        <w:t>7、因乙方管理不善和违规作业造成的安全事故由乙方自行承担责任。</w:t>
      </w:r>
    </w:p>
    <w:p>
      <w:pPr>
        <w:pStyle w:val="2"/>
        <w:ind w:firstLine="480" w:firstLineChars="200"/>
      </w:pPr>
      <w:r>
        <w:rPr>
          <w:rFonts w:hint="eastAsia" w:asciiTheme="minorEastAsia" w:hAnsiTheme="minorEastAsia" w:eastAsiaTheme="minorEastAsia"/>
          <w:sz w:val="24"/>
        </w:rPr>
        <w:t>8、外排污泥采用专业作业车进行脱水盛装。</w:t>
      </w:r>
    </w:p>
    <w:p>
      <w:pPr>
        <w:widowControl/>
        <w:spacing w:line="360" w:lineRule="auto"/>
        <w:ind w:firstLine="480" w:firstLineChars="200"/>
        <w:jc w:val="left"/>
        <w:rPr>
          <w:rFonts w:ascii="宋体" w:hAnsi="宋体"/>
          <w:sz w:val="24"/>
        </w:rPr>
      </w:pPr>
      <w:r>
        <w:rPr>
          <w:rFonts w:hint="eastAsia" w:ascii="宋体" w:hAnsi="宋体"/>
          <w:sz w:val="24"/>
        </w:rPr>
        <w:t>9、由乙方更换的设备设施，质保期</w:t>
      </w:r>
      <w:r>
        <w:rPr>
          <w:rFonts w:hint="eastAsia" w:ascii="宋体" w:hAnsi="宋体"/>
          <w:sz w:val="24"/>
          <w:u w:val="single"/>
        </w:rPr>
        <w:t xml:space="preserve">       </w:t>
      </w:r>
      <w:r>
        <w:rPr>
          <w:rFonts w:hint="eastAsia" w:ascii="宋体" w:hAnsi="宋体"/>
          <w:sz w:val="24"/>
        </w:rPr>
        <w:t>年，质保期内承诺接到维修电话后</w:t>
      </w:r>
      <w:r>
        <w:rPr>
          <w:rFonts w:hint="eastAsia" w:ascii="宋体" w:hAnsi="宋体"/>
          <w:sz w:val="24"/>
          <w:u w:val="single"/>
        </w:rPr>
        <w:t xml:space="preserve">       </w:t>
      </w:r>
      <w:r>
        <w:rPr>
          <w:rFonts w:hint="eastAsia" w:ascii="宋体" w:hAnsi="宋体"/>
          <w:sz w:val="24"/>
        </w:rPr>
        <w:t>小时内响应。</w:t>
      </w:r>
      <w:r>
        <w:rPr>
          <w:rFonts w:hint="eastAsia" w:ascii="宋体" w:hAnsi="宋体"/>
          <w:sz w:val="24"/>
        </w:rPr>
        <w:tab/>
      </w:r>
    </w:p>
    <w:p>
      <w:pPr>
        <w:pStyle w:val="2"/>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、质保期内如存在设备设施破损需要维修等，维修更换费用已包含在合同总价中。</w:t>
      </w:r>
    </w:p>
    <w:p>
      <w:pPr>
        <w:widowControl/>
        <w:spacing w:line="360" w:lineRule="auto"/>
        <w:ind w:firstLine="480" w:firstLineChars="200"/>
        <w:jc w:val="left"/>
        <w:rPr>
          <w:rFonts w:hint="eastAsia"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五、付款方式</w:t>
      </w:r>
    </w:p>
    <w:p>
      <w:pPr>
        <w:snapToGrid w:val="0"/>
        <w:spacing w:line="360" w:lineRule="auto"/>
        <w:ind w:firstLine="480" w:firstLineChars="200"/>
        <w:rPr>
          <w:rFonts w:ascii="宋体" w:hAnsi="宋体"/>
          <w:sz w:val="24"/>
        </w:rPr>
      </w:pPr>
      <w:r>
        <w:rPr>
          <w:rFonts w:hint="eastAsia" w:ascii="宋体" w:hAnsi="宋体"/>
          <w:sz w:val="24"/>
        </w:rPr>
        <w:t>项目完成并经甲方验收合格后，乙方凭验收单和正规的等额发票向甲方提出结算申请，采购人收到发票后30个工作日内付款。</w:t>
      </w:r>
    </w:p>
    <w:p>
      <w:pPr>
        <w:snapToGrid w:val="0"/>
        <w:spacing w:line="360" w:lineRule="auto"/>
        <w:ind w:firstLine="480" w:firstLineChars="200"/>
        <w:rPr>
          <w:rFonts w:ascii="宋体" w:hAnsi="宋体"/>
          <w:sz w:val="24"/>
        </w:rPr>
      </w:pPr>
      <w:r>
        <w:rPr>
          <w:rFonts w:hint="eastAsia" w:ascii="宋体" w:hAnsi="宋体"/>
          <w:sz w:val="24"/>
        </w:rPr>
        <w:t>六、争议解决：</w:t>
      </w:r>
    </w:p>
    <w:p>
      <w:pPr>
        <w:snapToGrid w:val="0"/>
        <w:spacing w:line="360" w:lineRule="auto"/>
        <w:ind w:firstLine="480" w:firstLineChars="200"/>
        <w:rPr>
          <w:rFonts w:ascii="宋体" w:hAnsi="宋体"/>
          <w:sz w:val="24"/>
        </w:rPr>
      </w:pPr>
      <w:r>
        <w:rPr>
          <w:rFonts w:hint="eastAsia" w:ascii="宋体" w:hAnsi="宋体"/>
          <w:sz w:val="24"/>
        </w:rPr>
        <w:t xml:space="preserve">本协议在履行过程中发生的争议，由双方当事人协商解决；协商不成时，依法向甲方所在地的人民法院起诉。 </w:t>
      </w:r>
    </w:p>
    <w:p>
      <w:pPr>
        <w:numPr>
          <w:ilvl w:val="0"/>
          <w:numId w:val="7"/>
        </w:numPr>
        <w:snapToGrid w:val="0"/>
        <w:spacing w:line="360" w:lineRule="auto"/>
        <w:ind w:firstLine="480" w:firstLineChars="200"/>
        <w:rPr>
          <w:rFonts w:ascii="宋体" w:hAnsi="宋体"/>
          <w:sz w:val="24"/>
        </w:rPr>
      </w:pPr>
      <w:r>
        <w:rPr>
          <w:rFonts w:hint="eastAsia" w:ascii="宋体" w:hAnsi="宋体"/>
          <w:sz w:val="24"/>
        </w:rPr>
        <w:t>其他</w:t>
      </w:r>
    </w:p>
    <w:p>
      <w:pPr>
        <w:snapToGrid w:val="0"/>
        <w:spacing w:line="360" w:lineRule="auto"/>
        <w:ind w:firstLine="480" w:firstLineChars="200"/>
        <w:rPr>
          <w:rFonts w:ascii="宋体" w:hAnsi="宋体"/>
          <w:sz w:val="24"/>
        </w:rPr>
      </w:pPr>
      <w:r>
        <w:rPr>
          <w:rFonts w:hint="eastAsia" w:ascii="宋体" w:hAnsi="宋体"/>
          <w:sz w:val="24"/>
        </w:rPr>
        <w:t>本协议一式肆份，甲、乙方双方各执贰份，经双方代表签字并盖公章后生效。。</w:t>
      </w:r>
    </w:p>
    <w:p>
      <w:pPr>
        <w:pStyle w:val="2"/>
        <w:spacing w:after="0" w:line="360" w:lineRule="auto"/>
        <w:ind w:firstLine="240"/>
        <w:rPr>
          <w:rFonts w:ascii="宋体" w:hAnsi="宋体"/>
          <w:sz w:val="24"/>
        </w:rPr>
      </w:pPr>
    </w:p>
    <w:p>
      <w:pPr>
        <w:pStyle w:val="2"/>
        <w:spacing w:before="120" w:beforeLines="50" w:after="0" w:line="360" w:lineRule="auto"/>
        <w:ind w:firstLine="240"/>
        <w:rPr>
          <w:rFonts w:ascii="宋体" w:hAnsi="宋体"/>
          <w:sz w:val="24"/>
        </w:rPr>
      </w:pPr>
      <w:r>
        <w:rPr>
          <w:rFonts w:hint="eastAsia" w:ascii="宋体" w:hAnsi="宋体"/>
          <w:sz w:val="24"/>
        </w:rPr>
        <w:t>甲方（盖章）：                          乙方（盖章）：</w:t>
      </w:r>
    </w:p>
    <w:p>
      <w:pPr>
        <w:pStyle w:val="2"/>
        <w:spacing w:before="120" w:beforeLines="50" w:after="0" w:line="360" w:lineRule="auto"/>
        <w:ind w:firstLine="240"/>
        <w:rPr>
          <w:rFonts w:ascii="宋体" w:hAnsi="宋体"/>
          <w:sz w:val="24"/>
        </w:rPr>
      </w:pPr>
      <w:r>
        <w:rPr>
          <w:rFonts w:hint="eastAsia" w:ascii="宋体" w:hAnsi="宋体"/>
          <w:sz w:val="24"/>
        </w:rPr>
        <w:t xml:space="preserve">法人代表签字：                          法人代表签字： </w:t>
      </w:r>
    </w:p>
    <w:p>
      <w:pPr>
        <w:pStyle w:val="2"/>
        <w:spacing w:before="120" w:beforeLines="50" w:after="0" w:line="360" w:lineRule="auto"/>
        <w:ind w:firstLine="240"/>
        <w:rPr>
          <w:rFonts w:ascii="宋体" w:hAnsi="宋体"/>
          <w:sz w:val="24"/>
        </w:rPr>
      </w:pPr>
      <w:r>
        <w:rPr>
          <w:rFonts w:hint="eastAsia" w:ascii="宋体" w:hAnsi="宋体"/>
          <w:sz w:val="24"/>
        </w:rPr>
        <w:t xml:space="preserve">或授权代表签字：                        或授权代表签字： </w:t>
      </w:r>
    </w:p>
    <w:p>
      <w:pPr>
        <w:pStyle w:val="2"/>
        <w:spacing w:before="120" w:beforeLines="50" w:after="0" w:line="360" w:lineRule="auto"/>
        <w:ind w:firstLine="5040" w:firstLineChars="2100"/>
        <w:rPr>
          <w:rFonts w:ascii="宋体" w:hAnsi="宋体"/>
          <w:sz w:val="24"/>
        </w:rPr>
      </w:pPr>
    </w:p>
    <w:p>
      <w:pPr>
        <w:pStyle w:val="2"/>
        <w:spacing w:before="120" w:beforeLines="50" w:after="0" w:line="360" w:lineRule="auto"/>
        <w:ind w:firstLine="5040" w:firstLineChars="2100"/>
        <w:rPr>
          <w:rFonts w:ascii="宋体" w:hAnsi="宋体"/>
          <w:sz w:val="24"/>
        </w:rPr>
      </w:pPr>
      <w:r>
        <w:rPr>
          <w:rFonts w:hint="eastAsia" w:ascii="宋体" w:hAnsi="宋体"/>
          <w:sz w:val="24"/>
        </w:rPr>
        <w:t>签约日期：    年    月</w:t>
      </w:r>
    </w:p>
    <w:p>
      <w:pPr>
        <w:pStyle w:val="2"/>
        <w:spacing w:before="120" w:beforeLines="50" w:after="0" w:line="360" w:lineRule="auto"/>
        <w:ind w:firstLine="5880" w:firstLineChars="2100"/>
        <w:rPr>
          <w:rFonts w:ascii="宋体" w:hAnsi="宋体"/>
          <w:szCs w:val="21"/>
        </w:rPr>
      </w:pPr>
    </w:p>
    <w:p>
      <w:pPr>
        <w:rPr>
          <w:rFonts w:ascii="宋体" w:hAnsi="宋体"/>
          <w:szCs w:val="21"/>
        </w:rPr>
      </w:pPr>
    </w:p>
    <w:p>
      <w:pPr>
        <w:pStyle w:val="2"/>
      </w:pPr>
    </w:p>
    <w:p>
      <w:pPr>
        <w:pStyle w:val="2"/>
        <w:spacing w:before="120" w:beforeLines="50" w:after="0" w:line="360" w:lineRule="auto"/>
        <w:ind w:firstLine="5880" w:firstLineChars="2100"/>
        <w:rPr>
          <w:rFonts w:ascii="宋体" w:hAnsi="宋体"/>
          <w:szCs w:val="21"/>
        </w:rPr>
      </w:pPr>
    </w:p>
    <w:p>
      <w:pPr>
        <w:spacing w:line="360" w:lineRule="auto"/>
        <w:jc w:val="center"/>
        <w:rPr>
          <w:rFonts w:hAnsi="宋体"/>
          <w:b/>
          <w:sz w:val="30"/>
          <w:szCs w:val="30"/>
        </w:rPr>
      </w:pPr>
      <w:r>
        <w:rPr>
          <w:rFonts w:hint="eastAsia" w:hAnsi="宋体"/>
          <w:b/>
          <w:sz w:val="30"/>
          <w:szCs w:val="30"/>
        </w:rPr>
        <w:t>医院物资、信息产品廉洁购销合同</w:t>
      </w:r>
    </w:p>
    <w:p>
      <w:pPr>
        <w:spacing w:line="360" w:lineRule="auto"/>
        <w:rPr>
          <w:rFonts w:ascii="宋体" w:hAnsi="宋体"/>
          <w:szCs w:val="21"/>
        </w:rPr>
      </w:pPr>
    </w:p>
    <w:p>
      <w:pPr>
        <w:spacing w:line="360" w:lineRule="auto"/>
        <w:rPr>
          <w:rFonts w:ascii="宋体" w:hAnsi="宋体"/>
          <w:szCs w:val="21"/>
        </w:rPr>
      </w:pPr>
      <w:r>
        <w:rPr>
          <w:rFonts w:hint="eastAsia" w:ascii="宋体" w:hAnsi="宋体"/>
          <w:sz w:val="24"/>
        </w:rPr>
        <w:t>甲方：</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乙方：</w:t>
      </w:r>
      <w:r>
        <w:rPr>
          <w:rFonts w:hint="eastAsia" w:ascii="宋体" w:hAnsi="宋体"/>
          <w:sz w:val="24"/>
          <w:u w:val="single"/>
        </w:rPr>
        <w:t xml:space="preserve">                       </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为进一步加强医疗卫生行风建设，规范物资、信息产品购销行为，有效防范商业贿赂行为，营造公平交易、诚实守信的购销环境，经甲、乙双方协商，同意签订本合同，并共同遵守：</w:t>
      </w:r>
    </w:p>
    <w:p>
      <w:pPr>
        <w:spacing w:line="360" w:lineRule="auto"/>
        <w:ind w:firstLine="480" w:firstLineChars="200"/>
        <w:rPr>
          <w:rFonts w:ascii="宋体" w:hAnsi="宋体"/>
          <w:sz w:val="24"/>
        </w:rPr>
      </w:pPr>
      <w:r>
        <w:rPr>
          <w:rFonts w:hint="eastAsia" w:ascii="宋体" w:hAnsi="宋体"/>
          <w:sz w:val="24"/>
        </w:rPr>
        <w:t>一、甲乙双方按照《合同法》签定购销合同。</w:t>
      </w:r>
    </w:p>
    <w:p>
      <w:pPr>
        <w:spacing w:line="360" w:lineRule="auto"/>
        <w:ind w:firstLine="480" w:firstLineChars="200"/>
        <w:rPr>
          <w:rFonts w:ascii="宋体" w:hAnsi="宋体"/>
          <w:sz w:val="24"/>
        </w:rPr>
      </w:pPr>
      <w:r>
        <w:rPr>
          <w:rFonts w:hint="eastAsia" w:ascii="宋体" w:hAnsi="宋体"/>
          <w:sz w:val="24"/>
        </w:rPr>
        <w:t>二、甲方应当严格执行购销合同验收、入库制度，对采购产品及发票进行查验，不得违反有关规定合同外采购、违价采购或从非规定渠道采购。</w:t>
      </w:r>
    </w:p>
    <w:p>
      <w:pPr>
        <w:spacing w:line="360" w:lineRule="auto"/>
        <w:ind w:firstLine="480" w:firstLineChars="200"/>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480" w:firstLineChars="200"/>
        <w:rPr>
          <w:rFonts w:ascii="宋体" w:hAnsi="宋体"/>
          <w:sz w:val="24"/>
        </w:rPr>
      </w:pPr>
      <w:r>
        <w:rPr>
          <w:rFonts w:hint="eastAsia" w:ascii="宋体" w:hAnsi="宋体"/>
          <w:sz w:val="24"/>
        </w:rPr>
        <w:t>四、乙方不得以回扣、宴请等方式影响甲方工作人员采购或使用物资产品的选择权，不得提供旅游、超标准支付食宿费用。</w:t>
      </w:r>
    </w:p>
    <w:p>
      <w:pPr>
        <w:spacing w:line="360" w:lineRule="auto"/>
        <w:ind w:firstLine="480" w:firstLineChars="200"/>
        <w:rPr>
          <w:rFonts w:ascii="宋体" w:hAnsi="宋体"/>
          <w:sz w:val="24"/>
        </w:rPr>
      </w:pPr>
      <w:r>
        <w:rPr>
          <w:rFonts w:hint="eastAsia" w:ascii="宋体" w:hAnsi="宋体"/>
          <w:sz w:val="24"/>
        </w:rPr>
        <w:t>五、乙方指定</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作为销售代表洽谈业务。销售代表必须在工作时间到甲方指定地点联系商谈，不得借故到甲方相关领导、部门负责人及相关工作人员家中访谈并提供任何好处费。</w:t>
      </w:r>
    </w:p>
    <w:p>
      <w:pPr>
        <w:spacing w:line="360" w:lineRule="auto"/>
        <w:ind w:firstLine="480" w:firstLineChars="200"/>
        <w:rPr>
          <w:rFonts w:ascii="宋体" w:hAnsi="宋体"/>
          <w:sz w:val="24"/>
        </w:rPr>
      </w:pPr>
      <w:r>
        <w:rPr>
          <w:rFonts w:hint="eastAsia" w:ascii="宋体" w:hAnsi="宋体"/>
          <w:sz w:val="24"/>
        </w:rPr>
        <w:t>六、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50</w:t>
      </w:r>
      <w:r>
        <w:rPr>
          <w:rFonts w:hint="eastAsia" w:ascii="宋体" w:hAnsi="宋体"/>
          <w:sz w:val="24"/>
        </w:rPr>
        <w:t>号）相关规定处理。</w:t>
      </w:r>
    </w:p>
    <w:p>
      <w:pPr>
        <w:spacing w:line="360" w:lineRule="auto"/>
        <w:ind w:firstLine="480" w:firstLineChars="200"/>
        <w:rPr>
          <w:rFonts w:ascii="宋体" w:hAnsi="宋体"/>
          <w:sz w:val="24"/>
        </w:rPr>
      </w:pPr>
      <w:r>
        <w:rPr>
          <w:rFonts w:hint="eastAsia" w:ascii="宋体" w:hAnsi="宋体"/>
          <w:sz w:val="24"/>
        </w:rPr>
        <w:t>七、本合同作为合同的重要组成部分，与购销合同一并执行，具有同等的法律效力。</w:t>
      </w:r>
    </w:p>
    <w:p>
      <w:pPr>
        <w:spacing w:line="360" w:lineRule="auto"/>
        <w:ind w:firstLine="480" w:firstLineChars="200"/>
        <w:rPr>
          <w:rFonts w:ascii="宋体" w:hAnsi="宋体"/>
          <w:sz w:val="24"/>
        </w:rPr>
      </w:pPr>
      <w:r>
        <w:rPr>
          <w:rFonts w:hint="eastAsia" w:ascii="宋体" w:hAnsi="宋体"/>
          <w:sz w:val="24"/>
        </w:rPr>
        <w:t>八、本合同一式贰份，甲、乙双方各执壹份，从签订之日起生效。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法定代表人（负责人）：          法定代表人（负责人）：</w:t>
      </w:r>
    </w:p>
    <w:p>
      <w:pPr>
        <w:spacing w:line="360" w:lineRule="auto"/>
        <w:ind w:firstLine="480" w:firstLineChars="200"/>
        <w:rPr>
          <w:rFonts w:ascii="宋体" w:hAnsi="宋体"/>
          <w:sz w:val="24"/>
        </w:rPr>
      </w:pPr>
      <w:r>
        <w:rPr>
          <w:rFonts w:hint="eastAsia" w:ascii="宋体" w:hAnsi="宋体"/>
          <w:sz w:val="24"/>
        </w:rPr>
        <w:t>经办人签名：                   经办人签名：</w:t>
      </w:r>
    </w:p>
    <w:p>
      <w:pPr>
        <w:spacing w:line="360" w:lineRule="auto"/>
        <w:ind w:firstLine="480" w:firstLineChars="200"/>
        <w:rPr>
          <w:rFonts w:ascii="宋体" w:hAnsi="宋体"/>
          <w:sz w:val="24"/>
        </w:rPr>
      </w:pPr>
      <w:r>
        <w:rPr>
          <w:rFonts w:hint="eastAsia" w:ascii="宋体" w:hAnsi="宋体"/>
          <w:sz w:val="24"/>
        </w:rPr>
        <w:t>年   月   日                     年   月  日</w:t>
      </w:r>
      <w:bookmarkStart w:id="216" w:name="_Toc482204282"/>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80"/>
      </w:pPr>
    </w:p>
    <w:p>
      <w:pPr>
        <w:pStyle w:val="2"/>
        <w:ind w:firstLine="240"/>
        <w:rPr>
          <w:rFonts w:ascii="宋体" w:hAnsi="宋体"/>
          <w:sz w:val="24"/>
        </w:rPr>
      </w:pPr>
    </w:p>
    <w:p/>
    <w:p>
      <w:pPr>
        <w:snapToGrid w:val="0"/>
        <w:spacing w:before="120" w:beforeLines="50" w:after="120" w:afterLines="50" w:line="360" w:lineRule="auto"/>
        <w:ind w:firstLine="602" w:firstLineChars="200"/>
        <w:jc w:val="center"/>
        <w:outlineLvl w:val="0"/>
        <w:rPr>
          <w:rFonts w:ascii="宋体" w:hAnsi="宋体"/>
          <w:b/>
          <w:sz w:val="30"/>
          <w:szCs w:val="30"/>
        </w:rPr>
      </w:pPr>
      <w:r>
        <w:rPr>
          <w:rFonts w:hint="eastAsia" w:ascii="宋体" w:hAnsi="宋体"/>
          <w:b/>
          <w:sz w:val="30"/>
          <w:szCs w:val="30"/>
        </w:rPr>
        <w:t>第六章　响应文件格式</w:t>
      </w:r>
      <w:bookmarkEnd w:id="216"/>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60" w:firstLineChars="450"/>
        <w:rPr>
          <w:rFonts w:ascii="宋体" w:hAnsi="宋体"/>
          <w:bCs/>
          <w:sz w:val="28"/>
          <w:szCs w:val="28"/>
        </w:rPr>
      </w:pPr>
      <w:r>
        <w:rPr>
          <w:rFonts w:hint="eastAsia" w:ascii="宋体" w:hAnsi="宋体"/>
          <w:bCs/>
          <w:sz w:val="28"/>
          <w:szCs w:val="28"/>
        </w:rPr>
        <w:t xml:space="preserve">项目名称： </w:t>
      </w:r>
    </w:p>
    <w:p>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20" w:beforeLines="50" w:after="50" w:line="360" w:lineRule="auto"/>
        <w:ind w:firstLine="1260" w:firstLineChars="450"/>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1"/>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 xml:space="preserve">项目名称： </w:t>
      </w: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项目编号：</w:t>
      </w:r>
      <w:r>
        <w:rPr>
          <w:rFonts w:ascii="宋体" w:hAnsi="宋体"/>
          <w:b/>
          <w:bCs/>
          <w:sz w:val="28"/>
          <w:szCs w:val="28"/>
        </w:rPr>
        <w:t xml:space="preserve"> </w:t>
      </w: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pPr>
        <w:snapToGrid w:val="0"/>
        <w:spacing w:before="50" w:after="120" w:afterLines="50" w:line="360" w:lineRule="auto"/>
        <w:jc w:val="left"/>
        <w:rPr>
          <w:rFonts w:ascii="宋体" w:hAnsi="宋体"/>
          <w:b/>
          <w:sz w:val="24"/>
          <w:szCs w:val="20"/>
        </w:rPr>
      </w:pPr>
      <w:r>
        <w:rPr>
          <w:rFonts w:hint="eastAsia" w:hAnsi="宋体"/>
          <w:b/>
        </w:rPr>
        <w:t>具体详见供应商须知前附表</w:t>
      </w:r>
      <w:r>
        <w:rPr>
          <w:rFonts w:hAnsi="宋体"/>
        </w:rPr>
        <w:br w:type="page"/>
      </w:r>
      <w:r>
        <w:rPr>
          <w:rFonts w:hint="eastAsia" w:ascii="宋体" w:hAnsi="宋体"/>
          <w:b/>
          <w:sz w:val="24"/>
        </w:rPr>
        <w:t>附件：磋商声明书格式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磋商声明书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项目的磋商采购，为便于贵方公正、择优地确定成交供应商及其提供的产品和服务，我方就成绩本次磋商有关事项郑重声明如下：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Ansi="宋体"/>
          <w:sz w:val="24"/>
        </w:rPr>
      </w:pPr>
      <w:r>
        <w:rPr>
          <w:rFonts w:hint="eastAsia" w:ascii="宋体" w:hAnsi="宋体"/>
          <w:sz w:val="24"/>
        </w:rPr>
        <w:t>3.</w:t>
      </w:r>
      <w:r>
        <w:rPr>
          <w:rFonts w:ascii="宋体" w:hAnsi="宋体"/>
          <w:sz w:val="24"/>
        </w:rPr>
        <w:t>我方不是采购人的附属机构；</w:t>
      </w:r>
      <w:r>
        <w:rPr>
          <w:rFonts w:hint="eastAsia" w:ascii="宋体" w:hAnsi="宋体"/>
          <w:sz w:val="24"/>
        </w:rPr>
        <w:t>没有为本采购项目</w:t>
      </w:r>
      <w:r>
        <w:rPr>
          <w:rFonts w:hint="eastAsia" w:hAnsi="宋体"/>
          <w:sz w:val="24"/>
        </w:rPr>
        <w:t>提供整体设计、规范编制或者项目管理、监理、检测等服务。</w:t>
      </w:r>
    </w:p>
    <w:p>
      <w:pPr>
        <w:snapToGrid w:val="0"/>
        <w:spacing w:before="120" w:beforeLines="50" w:line="360" w:lineRule="auto"/>
        <w:ind w:firstLine="480" w:firstLineChars="200"/>
        <w:rPr>
          <w:rFonts w:ascii="宋体" w:hAnsi="宋体"/>
          <w:sz w:val="24"/>
          <w:u w:val="single"/>
        </w:rPr>
      </w:pPr>
      <w:r>
        <w:rPr>
          <w:rFonts w:hint="eastAsia" w:hAnsi="宋体"/>
          <w:sz w:val="24"/>
        </w:rPr>
        <w:t>4</w:t>
      </w:r>
      <w:r>
        <w:rPr>
          <w:rFonts w:hint="eastAsia" w:ascii="宋体" w:hAnsi="宋体"/>
          <w:sz w:val="24"/>
        </w:rPr>
        <w:t>.我</w:t>
      </w:r>
      <w:r>
        <w:rPr>
          <w:rFonts w:hint="eastAsia" w:ascii="宋体" w:hAnsi="宋体" w:cs="宋体"/>
          <w:kern w:val="0"/>
          <w:sz w:val="24"/>
        </w:rPr>
        <w:t>方单位负责人同时为下列单位的负责人：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before="120" w:beforeLines="50" w:line="360" w:lineRule="auto"/>
        <w:ind w:firstLine="480" w:firstLineChars="200"/>
        <w:rPr>
          <w:rFonts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sz w:val="24"/>
        </w:rPr>
        <w:t>合同项下</w:t>
      </w:r>
      <w:r>
        <w:rPr>
          <w:rFonts w:hint="eastAsia" w:ascii="宋体" w:hAnsi="宋体" w:cs="宋体"/>
          <w:kern w:val="0"/>
          <w:sz w:val="24"/>
        </w:rPr>
        <w:t>的磋商。</w:t>
      </w:r>
    </w:p>
    <w:p>
      <w:pPr>
        <w:snapToGrid w:val="0"/>
        <w:spacing w:before="120" w:beforeLines="50" w:line="360" w:lineRule="auto"/>
        <w:ind w:firstLine="480" w:firstLineChars="200"/>
        <w:rPr>
          <w:rFonts w:ascii="宋体" w:hAnsi="宋体"/>
          <w:sz w:val="24"/>
          <w:szCs w:val="20"/>
        </w:rPr>
      </w:pPr>
      <w:r>
        <w:rPr>
          <w:rFonts w:hint="eastAsia" w:ascii="宋体" w:hAnsi="宋体"/>
          <w:sz w:val="24"/>
        </w:rPr>
        <w:t>6.我方委托授权人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本项目的磋商采购活动，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u w:val="single"/>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r>
        <w:rPr>
          <w:rFonts w:hint="eastAsia" w:ascii="宋体" w:hAnsi="宋体"/>
          <w:sz w:val="24"/>
          <w:u w:val="single"/>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xml:space="preserve">             </w:t>
      </w:r>
    </w:p>
    <w:p>
      <w:pPr>
        <w:snapToGrid w:val="0"/>
        <w:spacing w:line="360" w:lineRule="auto"/>
        <w:ind w:firstLine="480" w:firstLineChars="200"/>
        <w:rPr>
          <w:rFonts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snapToGrid w:val="0"/>
        <w:spacing w:before="120" w:beforeLines="50" w:line="360" w:lineRule="auto"/>
        <w:ind w:firstLine="200"/>
        <w:rPr>
          <w:rFonts w:ascii="宋体" w:hAnsi="宋体"/>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ind w:firstLine="240" w:firstLineChars="100"/>
        <w:jc w:val="left"/>
        <w:outlineLvl w:val="0"/>
        <w:rPr>
          <w:rFonts w:ascii="宋体" w:hAnsi="宋体"/>
          <w:sz w:val="24"/>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pStyle w:val="20"/>
        <w:snapToGrid w:val="0"/>
        <w:spacing w:beforeLines="0" w:afterLines="0" w:line="360" w:lineRule="auto"/>
        <w:ind w:firstLine="480" w:firstLineChars="200"/>
        <w:rPr>
          <w:rFonts w:hAnsi="宋体"/>
          <w:b/>
          <w:szCs w:val="20"/>
        </w:rPr>
      </w:pPr>
      <w:r>
        <w:rPr>
          <w:rFonts w:hAnsi="宋体"/>
        </w:rPr>
        <w:br w:type="page"/>
      </w:r>
      <w:r>
        <w:rPr>
          <w:rFonts w:hint="eastAsia" w:hAnsi="宋体"/>
          <w:b/>
        </w:rPr>
        <w:t>附件：磋商响应函格式：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 商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w:t>
      </w:r>
    </w:p>
    <w:p>
      <w:pPr>
        <w:snapToGrid w:val="0"/>
        <w:spacing w:line="360" w:lineRule="auto"/>
        <w:ind w:firstLine="480"/>
        <w:rPr>
          <w:rFonts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项目的采购公告（项目编号：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（供应商名称）提交竞争性磋商采购响应文件正本各一份、副本</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文件、澄清（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.本响应文件有效期自磋商日起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.供应商同意按照贵方要求提供与磋商有关的一切数据或资料。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:___________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0"/>
        <w:snapToGrid w:val="0"/>
        <w:spacing w:beforeLines="0" w:afterLines="0" w:line="360" w:lineRule="auto"/>
        <w:rPr>
          <w:rFonts w:hAnsi="宋体"/>
        </w:rPr>
      </w:pP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附件：法定代表人授权委托书格式：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供应商公章：</w:t>
      </w:r>
    </w:p>
    <w:p>
      <w:pPr>
        <w:snapToGrid w:val="0"/>
        <w:spacing w:before="120" w:beforeLines="50" w:after="50"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6"/>
        <w:rPr>
          <w:rFonts w:ascii="宋体" w:hAnsi="宋体"/>
          <w:sz w:val="24"/>
        </w:rPr>
      </w:pPr>
    </w:p>
    <w:p>
      <w:pPr>
        <w:rPr>
          <w:rFonts w:ascii="宋体" w:hAnsi="宋体"/>
          <w:sz w:val="24"/>
        </w:rPr>
      </w:pPr>
    </w:p>
    <w:p>
      <w:pPr>
        <w:pStyle w:val="26"/>
        <w:rPr>
          <w:rFonts w:ascii="宋体" w:hAnsi="宋体"/>
          <w:sz w:val="24"/>
        </w:rPr>
      </w:pPr>
    </w:p>
    <w:p>
      <w:pPr>
        <w:sectPr>
          <w:headerReference r:id="rId7" w:type="first"/>
          <w:footerReference r:id="rId9" w:type="first"/>
          <w:footerReference r:id="rId8" w:type="default"/>
          <w:pgSz w:w="11906" w:h="16838"/>
          <w:pgMar w:top="1457" w:right="1797" w:bottom="1457" w:left="1797" w:header="851" w:footer="851" w:gutter="0"/>
          <w:cols w:space="720" w:num="1"/>
          <w:titlePg/>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附件：报价一览表</w:t>
      </w:r>
    </w:p>
    <w:p>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3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87"/>
        <w:gridCol w:w="43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04" w:hRule="atLeast"/>
          <w:jc w:val="center"/>
        </w:trPr>
        <w:tc>
          <w:tcPr>
            <w:tcW w:w="2455" w:type="pct"/>
            <w:vAlign w:val="center"/>
          </w:tcPr>
          <w:p>
            <w:pPr>
              <w:spacing w:line="360" w:lineRule="auto"/>
              <w:ind w:right="-21" w:rightChars="-10"/>
              <w:jc w:val="center"/>
              <w:rPr>
                <w:rFonts w:ascii="宋体" w:hAnsi="宋体"/>
                <w:b/>
                <w:sz w:val="24"/>
              </w:rPr>
            </w:pPr>
            <w:r>
              <w:rPr>
                <w:rFonts w:hint="eastAsia" w:ascii="宋体" w:hAnsi="宋体"/>
                <w:b/>
                <w:sz w:val="24"/>
              </w:rPr>
              <w:t>供应商</w:t>
            </w:r>
          </w:p>
        </w:tc>
        <w:tc>
          <w:tcPr>
            <w:tcW w:w="2545" w:type="pct"/>
            <w:tcBorders>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3" w:hRule="atLeast"/>
          <w:jc w:val="center"/>
        </w:trPr>
        <w:tc>
          <w:tcPr>
            <w:tcW w:w="2455" w:type="pct"/>
            <w:vAlign w:val="center"/>
          </w:tcPr>
          <w:p>
            <w:pPr>
              <w:pStyle w:val="20"/>
              <w:spacing w:before="120" w:after="120" w:line="360" w:lineRule="auto"/>
              <w:ind w:firstLine="562"/>
              <w:jc w:val="center"/>
              <w:rPr>
                <w:rFonts w:hAnsi="宋体"/>
                <w:b/>
                <w:spacing w:val="20"/>
              </w:rPr>
            </w:pPr>
          </w:p>
        </w:tc>
        <w:tc>
          <w:tcPr>
            <w:tcW w:w="2545" w:type="pct"/>
            <w:tcBorders>
              <w:right w:val="single" w:color="auto" w:sz="4" w:space="0"/>
            </w:tcBorders>
            <w:vAlign w:val="center"/>
          </w:tcPr>
          <w:p>
            <w:pPr>
              <w:pStyle w:val="20"/>
              <w:spacing w:before="120" w:after="120" w:line="360" w:lineRule="auto"/>
              <w:rPr>
                <w:rFonts w:hAnsi="宋体"/>
                <w:b/>
                <w:spacing w:val="20"/>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pPr>
    </w:p>
    <w:p>
      <w:pPr>
        <w:pStyle w:val="26"/>
      </w:pPr>
    </w:p>
    <w:p/>
    <w:p>
      <w:pPr>
        <w:pStyle w:val="2"/>
        <w:ind w:firstLine="280"/>
      </w:pPr>
    </w:p>
    <w:p/>
    <w:p/>
    <w:p>
      <w:pPr>
        <w:pStyle w:val="20"/>
        <w:snapToGrid w:val="0"/>
        <w:spacing w:beforeLines="0" w:afterLines="0" w:line="360" w:lineRule="auto"/>
        <w:rPr>
          <w:rFonts w:hAnsi="宋体"/>
          <w:b/>
        </w:rPr>
      </w:pPr>
      <w:r>
        <w:rPr>
          <w:rFonts w:hint="eastAsia" w:hAnsi="宋体"/>
          <w:b/>
        </w:rPr>
        <w:t>附件：</w:t>
      </w:r>
      <w:r>
        <w:rPr>
          <w:rFonts w:hAnsi="宋体"/>
          <w:b/>
        </w:rPr>
        <w:t xml:space="preserve">报价明细表格式       </w:t>
      </w:r>
    </w:p>
    <w:p>
      <w:pPr>
        <w:pStyle w:val="20"/>
        <w:snapToGrid w:val="0"/>
        <w:spacing w:beforeLines="0" w:afterLines="0" w:line="360" w:lineRule="auto"/>
        <w:jc w:val="center"/>
        <w:rPr>
          <w:rFonts w:hAnsi="宋体"/>
          <w:b/>
          <w:sz w:val="32"/>
          <w:szCs w:val="32"/>
        </w:rPr>
      </w:pPr>
      <w:r>
        <w:rPr>
          <w:rFonts w:hAnsi="宋体"/>
          <w:b/>
          <w:sz w:val="32"/>
          <w:szCs w:val="32"/>
        </w:rPr>
        <w:t>报价明细表</w:t>
      </w:r>
    </w:p>
    <w:p>
      <w:pPr>
        <w:pStyle w:val="20"/>
        <w:snapToGrid w:val="0"/>
        <w:spacing w:beforeLines="0" w:afterLines="0" w:line="360" w:lineRule="auto"/>
        <w:rPr>
          <w:rFonts w:hAnsi="宋体"/>
          <w:szCs w:val="21"/>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37"/>
        <w:tblW w:w="5748" w:type="pct"/>
        <w:tblInd w:w="-482" w:type="dxa"/>
        <w:tblLayout w:type="fixed"/>
        <w:tblCellMar>
          <w:top w:w="57" w:type="dxa"/>
          <w:left w:w="85" w:type="dxa"/>
          <w:bottom w:w="57" w:type="dxa"/>
          <w:right w:w="85" w:type="dxa"/>
        </w:tblCellMar>
      </w:tblPr>
      <w:tblGrid>
        <w:gridCol w:w="723"/>
        <w:gridCol w:w="1447"/>
        <w:gridCol w:w="3171"/>
        <w:gridCol w:w="1110"/>
        <w:gridCol w:w="870"/>
        <w:gridCol w:w="810"/>
        <w:gridCol w:w="810"/>
        <w:gridCol w:w="810"/>
      </w:tblGrid>
      <w:tr>
        <w:tblPrEx>
          <w:tblCellMar>
            <w:top w:w="57" w:type="dxa"/>
            <w:left w:w="85" w:type="dxa"/>
            <w:bottom w:w="57" w:type="dxa"/>
            <w:right w:w="85" w:type="dxa"/>
          </w:tblCellMar>
        </w:tblPrEx>
        <w:trPr>
          <w:trHeight w:val="427"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序号</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w:t>
            </w:r>
          </w:p>
          <w:p>
            <w:pPr>
              <w:spacing w:line="440" w:lineRule="exact"/>
              <w:jc w:val="center"/>
              <w:rPr>
                <w:rFonts w:ascii="宋体" w:hAnsi="宋体"/>
                <w:sz w:val="24"/>
              </w:rPr>
            </w:pPr>
            <w:r>
              <w:rPr>
                <w:rFonts w:hint="eastAsia" w:ascii="宋体" w:hAnsi="宋体"/>
                <w:sz w:val="24"/>
              </w:rPr>
              <w:t>名称</w:t>
            </w:r>
          </w:p>
        </w:tc>
        <w:tc>
          <w:tcPr>
            <w:tcW w:w="3171"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项目内容</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单位</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单价</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合价</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备注</w:t>
            </w:r>
          </w:p>
        </w:tc>
      </w:tr>
      <w:tr>
        <w:tblPrEx>
          <w:tblCellMar>
            <w:top w:w="57" w:type="dxa"/>
            <w:left w:w="85" w:type="dxa"/>
            <w:bottom w:w="57" w:type="dxa"/>
            <w:right w:w="85" w:type="dxa"/>
          </w:tblCellMar>
        </w:tblPrEx>
        <w:trPr>
          <w:trHeight w:val="698"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144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损坏设备拆除及管道疏通改造</w:t>
            </w: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原有隔膜泵、管道、阀门及配件等拆除</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427"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top w:val="nil"/>
              <w:left w:val="single" w:color="auto" w:sz="4" w:space="0"/>
              <w:bottom w:val="single" w:color="auto" w:sz="4" w:space="0"/>
              <w:right w:val="single" w:color="auto" w:sz="4" w:space="0"/>
            </w:tcBorders>
            <w:vAlign w:val="center"/>
          </w:tcPr>
          <w:p>
            <w:pPr>
              <w:spacing w:line="440" w:lineRule="exact"/>
              <w:jc w:val="left"/>
              <w:rPr>
                <w:rFonts w:ascii="宋体" w:hAnsi="宋体"/>
                <w:sz w:val="24"/>
              </w:rPr>
            </w:pP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现有污泥外排泵拆除、管道疏通、阀门及配件更换等</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1130"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2</w:t>
            </w:r>
          </w:p>
        </w:tc>
        <w:tc>
          <w:tcPr>
            <w:tcW w:w="1447" w:type="dxa"/>
            <w:vMerge w:val="restart"/>
            <w:tcBorders>
              <w:top w:val="nil"/>
              <w:left w:val="single" w:color="auto" w:sz="4" w:space="0"/>
              <w:right w:val="single" w:color="auto" w:sz="4" w:space="0"/>
            </w:tcBorders>
            <w:shd w:val="clear" w:color="auto" w:fill="auto"/>
            <w:noWrap/>
            <w:vAlign w:val="center"/>
          </w:tcPr>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更换、新增设备</w:t>
            </w: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沉淀池污泥排出泵：口径Ф80mm、H=13m、Q=43m</w:t>
            </w:r>
            <w:r>
              <w:rPr>
                <w:rFonts w:hint="eastAsia" w:ascii="宋体" w:hAnsi="宋体"/>
                <w:sz w:val="24"/>
                <w:vertAlign w:val="superscript"/>
              </w:rPr>
              <w:t>3</w:t>
            </w:r>
            <w:r>
              <w:rPr>
                <w:rFonts w:hint="eastAsia" w:ascii="宋体" w:hAnsi="宋体"/>
                <w:sz w:val="24"/>
              </w:rPr>
              <w:t>/h、N=3kW、M=110kg及配套管道、阀门等设施</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427" w:hRule="atLeast"/>
        </w:trPr>
        <w:tc>
          <w:tcPr>
            <w:tcW w:w="724" w:type="dxa"/>
            <w:vMerge w:val="continue"/>
            <w:tcBorders>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3171" w:type="dxa"/>
            <w:vMerge w:val="restart"/>
            <w:tcBorders>
              <w:top w:val="nil"/>
              <w:left w:val="nil"/>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污泥池污泥泵：口径Ф65mm、H=20m、Q=25m</w:t>
            </w:r>
            <w:r>
              <w:rPr>
                <w:rFonts w:hint="eastAsia" w:ascii="宋体" w:hAnsi="宋体"/>
                <w:sz w:val="24"/>
                <w:vertAlign w:val="superscript"/>
              </w:rPr>
              <w:t>3</w:t>
            </w:r>
            <w:r>
              <w:rPr>
                <w:rFonts w:hint="eastAsia" w:ascii="宋体" w:hAnsi="宋体"/>
                <w:sz w:val="24"/>
              </w:rPr>
              <w:t>/h、N=4kW、M=120kg</w:t>
            </w:r>
          </w:p>
        </w:tc>
        <w:tc>
          <w:tcPr>
            <w:tcW w:w="1110" w:type="dxa"/>
            <w:vMerge w:val="restart"/>
            <w:tcBorders>
              <w:top w:val="nil"/>
              <w:left w:val="nil"/>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70" w:type="dxa"/>
            <w:vMerge w:val="restart"/>
            <w:tcBorders>
              <w:top w:val="nil"/>
              <w:left w:val="nil"/>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810" w:type="dxa"/>
            <w:tcBorders>
              <w:top w:val="nil"/>
              <w:left w:val="nil"/>
              <w:bottom w:val="nil"/>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nil"/>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nil"/>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潜水泥沙泵</w:t>
            </w:r>
          </w:p>
        </w:tc>
      </w:tr>
      <w:tr>
        <w:tblPrEx>
          <w:tblCellMar>
            <w:top w:w="57" w:type="dxa"/>
            <w:left w:w="85" w:type="dxa"/>
            <w:bottom w:w="57" w:type="dxa"/>
            <w:right w:w="85" w:type="dxa"/>
          </w:tblCellMar>
        </w:tblPrEx>
        <w:trPr>
          <w:trHeight w:val="148" w:hRule="atLeast"/>
        </w:trPr>
        <w:tc>
          <w:tcPr>
            <w:tcW w:w="724" w:type="dxa"/>
            <w:vMerge w:val="continue"/>
            <w:tcBorders>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3171" w:type="dxa"/>
            <w:vMerge w:val="continue"/>
            <w:tcBorders>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p>
        </w:tc>
        <w:tc>
          <w:tcPr>
            <w:tcW w:w="1110" w:type="dxa"/>
            <w:vMerge w:val="continue"/>
            <w:tcBorders>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70" w:type="dxa"/>
            <w:vMerge w:val="continue"/>
            <w:tcBorders>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清洗水槽、工器具置物架等</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套</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r>
              <w:rPr>
                <w:rFonts w:hint="eastAsia" w:ascii="宋体" w:hAnsi="宋体"/>
                <w:sz w:val="24"/>
              </w:rPr>
              <w:t>池顶开孔</w:t>
            </w:r>
          </w:p>
        </w:tc>
        <w:tc>
          <w:tcPr>
            <w:tcW w:w="3171"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沉淀池顶部开孔500mm*500mm</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孔</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4</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r>
              <w:rPr>
                <w:rFonts w:hint="eastAsia" w:ascii="宋体" w:hAnsi="宋体"/>
                <w:sz w:val="24"/>
              </w:rPr>
              <w:t>沉淀池清淤</w:t>
            </w:r>
          </w:p>
        </w:tc>
        <w:tc>
          <w:tcPr>
            <w:tcW w:w="3171"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hAnsi="宋体"/>
                <w:sz w:val="24"/>
              </w:rPr>
              <w:t>对医院污水处理站沉淀池污泥进行清理处置</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4</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个</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约95立方米（以实际面积为准）</w:t>
            </w:r>
          </w:p>
        </w:tc>
      </w:tr>
      <w:tr>
        <w:tblPrEx>
          <w:tblCellMar>
            <w:top w:w="57" w:type="dxa"/>
            <w:left w:w="85" w:type="dxa"/>
            <w:bottom w:w="57" w:type="dxa"/>
            <w:right w:w="85" w:type="dxa"/>
          </w:tblCellMar>
        </w:tblPrEx>
        <w:trPr>
          <w:trHeight w:val="592" w:hRule="atLeast"/>
        </w:trPr>
        <w:tc>
          <w:tcPr>
            <w:tcW w:w="975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ind w:firstLine="1200" w:firstLineChars="500"/>
              <w:jc w:val="left"/>
              <w:rPr>
                <w:rFonts w:ascii="宋体" w:hAnsi="宋体"/>
                <w:sz w:val="24"/>
              </w:rPr>
            </w:pPr>
            <w:r>
              <w:rPr>
                <w:rFonts w:hint="eastAsia" w:ascii="宋体" w:hAnsi="宋体"/>
                <w:sz w:val="24"/>
              </w:rPr>
              <w:t>合计：</w:t>
            </w:r>
          </w:p>
        </w:tc>
      </w:tr>
    </w:tbl>
    <w:p>
      <w:pPr>
        <w:tabs>
          <w:tab w:val="left" w:pos="2055"/>
        </w:tabs>
        <w:spacing w:line="360" w:lineRule="auto"/>
        <w:rPr>
          <w:rFonts w:ascii="宋体" w:hAnsi="宋体"/>
          <w:kern w:val="0"/>
          <w:szCs w:val="21"/>
        </w:rPr>
      </w:pPr>
    </w:p>
    <w:p>
      <w:pPr>
        <w:tabs>
          <w:tab w:val="left" w:pos="1418"/>
        </w:tabs>
        <w:snapToGrid w:val="0"/>
        <w:spacing w:before="50" w:after="50" w:line="360" w:lineRule="auto"/>
        <w:rPr>
          <w:rFonts w:ascii="宋体" w:hAnsi="宋体"/>
          <w:b/>
          <w:bCs/>
          <w:spacing w:val="20"/>
          <w:szCs w:val="21"/>
        </w:rPr>
      </w:pPr>
      <w:r>
        <w:rPr>
          <w:rFonts w:hint="eastAsia" w:ascii="宋体" w:hAnsi="宋体"/>
          <w:b/>
          <w:bCs/>
          <w:color w:val="000000"/>
          <w:sz w:val="24"/>
        </w:rPr>
        <w:t>备注：</w:t>
      </w:r>
      <w:r>
        <w:rPr>
          <w:rFonts w:hint="eastAsia" w:ascii="宋体" w:hAnsi="宋体"/>
          <w:b/>
          <w:sz w:val="24"/>
        </w:rPr>
        <w:t>以上总价为包干价，</w:t>
      </w:r>
      <w:r>
        <w:rPr>
          <w:rFonts w:hint="eastAsia" w:ascii="宋体" w:hAnsi="宋体"/>
          <w:b/>
          <w:bCs/>
          <w:color w:val="000000"/>
          <w:sz w:val="24"/>
        </w:rPr>
        <w:t>包括人工费、材料费、安装费、质保期内的维修更换费、设备使用费、垃圾清运及处置费、管理费、利润、风险、税金等一切费用。</w:t>
      </w: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120" w:beforeLines="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rPr>
          <w:rFonts w:ascii="宋体" w:hAnsi="宋体"/>
          <w:b/>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附件：商务响应表格式</w:t>
      </w:r>
    </w:p>
    <w:p>
      <w:pPr>
        <w:snapToGrid w:val="0"/>
        <w:spacing w:before="50" w:line="360" w:lineRule="auto"/>
        <w:jc w:val="center"/>
        <w:rPr>
          <w:rFonts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18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352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bl>
    <w:p>
      <w:pPr>
        <w:snapToGrid w:val="0"/>
        <w:spacing w:before="120" w:beforeLines="50" w:line="360" w:lineRule="auto"/>
        <w:rPr>
          <w:rFonts w:ascii="宋体" w:hAnsi="宋体"/>
          <w:sz w:val="24"/>
          <w:szCs w:val="20"/>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ind w:right="-817" w:rightChars="-389"/>
        <w:rPr>
          <w:rFonts w:ascii="宋体" w:hAnsi="宋体"/>
          <w:b/>
          <w:sz w:val="24"/>
          <w:szCs w:val="20"/>
        </w:rPr>
      </w:pPr>
      <w:r>
        <w:rPr>
          <w:rFonts w:ascii="宋体" w:hAnsi="宋体"/>
          <w:sz w:val="32"/>
          <w:szCs w:val="20"/>
        </w:rPr>
        <w:br w:type="page"/>
      </w:r>
      <w:r>
        <w:rPr>
          <w:rFonts w:hint="eastAsia" w:ascii="宋体" w:hAnsi="宋体"/>
          <w:b/>
          <w:sz w:val="24"/>
        </w:rPr>
        <w:t>附件：技术响应表格式</w:t>
      </w:r>
    </w:p>
    <w:p>
      <w:pPr>
        <w:snapToGrid w:val="0"/>
        <w:spacing w:before="50" w:after="120" w:afterLines="50" w:line="360" w:lineRule="auto"/>
        <w:jc w:val="center"/>
        <w:rPr>
          <w:rFonts w:ascii="宋体" w:hAnsi="宋体"/>
          <w:sz w:val="32"/>
          <w:szCs w:val="32"/>
        </w:rPr>
      </w:pPr>
      <w:r>
        <w:rPr>
          <w:rFonts w:hint="eastAsia" w:ascii="宋体" w:hAnsi="宋体"/>
          <w:b/>
          <w:sz w:val="32"/>
          <w:szCs w:val="32"/>
        </w:rPr>
        <w:t>技术响应表</w:t>
      </w:r>
    </w:p>
    <w:p>
      <w:pPr>
        <w:snapToGrid w:val="0"/>
        <w:spacing w:before="50" w:after="120" w:afterLines="50"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int="eastAsia" w:hAnsi="宋体"/>
                <w:b/>
                <w:szCs w:val="21"/>
              </w:rPr>
              <w:t>序号</w:t>
            </w:r>
          </w:p>
        </w:tc>
        <w:tc>
          <w:tcPr>
            <w:tcW w:w="233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bl>
    <w:p>
      <w:pPr>
        <w:pStyle w:val="15"/>
        <w:spacing w:line="360" w:lineRule="auto"/>
        <w:rPr>
          <w:rFonts w:ascii="宋体" w:eastAsia="宋体"/>
        </w:rPr>
      </w:pPr>
      <w:r>
        <w:rPr>
          <w:rFonts w:ascii="宋体" w:eastAsia="宋体"/>
        </w:rPr>
        <w:t>注：供应商应根据设备的性能指标、对照采购文件要求在“偏离情况”栏注明“正偏离”、“负偏离”或“无偏离”。</w:t>
      </w: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rPr>
        <w:sectPr>
          <w:footerReference r:id="rId10" w:type="default"/>
          <w:footerReference r:id="rId11" w:type="even"/>
          <w:pgSz w:w="11906" w:h="16838"/>
          <w:pgMar w:top="1457" w:right="1797" w:bottom="1457" w:left="1797" w:header="851" w:footer="851" w:gutter="0"/>
          <w:cols w:space="720" w:num="1"/>
          <w:docGrid w:linePitch="312" w:charSpace="0"/>
        </w:sectPr>
      </w:pPr>
      <w:r>
        <w:rPr>
          <w:rFonts w:hint="eastAsia" w:ascii="宋体" w:hAnsi="宋体"/>
          <w:spacing w:val="20"/>
          <w:sz w:val="24"/>
        </w:rPr>
        <w:t>日 期：</w:t>
      </w:r>
      <w:r>
        <w:rPr>
          <w:rFonts w:ascii="宋体" w:hAnsi="宋体"/>
          <w:spacing w:val="20"/>
          <w:sz w:val="24"/>
          <w:u w:val="single"/>
        </w:rPr>
        <w:t xml:space="preserve">         </w:t>
      </w:r>
    </w:p>
    <w:p>
      <w:pPr>
        <w:snapToGrid w:val="0"/>
        <w:spacing w:before="50" w:after="50" w:line="360" w:lineRule="auto"/>
        <w:rPr>
          <w:rFonts w:ascii="宋体" w:hAnsi="宋体"/>
          <w:spacing w:val="20"/>
          <w:sz w:val="24"/>
          <w:szCs w:val="20"/>
          <w:u w:val="single"/>
        </w:rPr>
      </w:pPr>
    </w:p>
    <w:p>
      <w:pPr>
        <w:tabs>
          <w:tab w:val="left" w:pos="9135"/>
        </w:tabs>
        <w:spacing w:line="360" w:lineRule="auto"/>
        <w:ind w:right="101"/>
        <w:rPr>
          <w:sz w:val="28"/>
          <w:szCs w:val="28"/>
        </w:rPr>
      </w:pPr>
    </w:p>
    <w:sectPr>
      <w:footerReference r:id="rId12" w:type="default"/>
      <w:footerReference r:id="rId13" w:type="even"/>
      <w:pgSz w:w="11906" w:h="16838"/>
      <w:pgMar w:top="1457" w:right="1797" w:bottom="145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Pr>
    </w:pPr>
    <w:r>
      <w:fldChar w:fldCharType="begin"/>
    </w:r>
    <w:r>
      <w:rPr>
        <w:rStyle w:val="41"/>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15</w: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w:t>
    </w:r>
    <w:r>
      <w:rPr>
        <w:lang w:val="zh-CN"/>
      </w:rPr>
      <w:fldChar w:fldCharType="end"/>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27</w:t>
    </w:r>
    <w:r>
      <w:fldChar w:fldCharType="end"/>
    </w:r>
  </w:p>
  <w:p>
    <w:pPr>
      <w:pStyle w:val="24"/>
      <w:ind w:right="360" w:firstLine="360"/>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55</w:t>
    </w:r>
    <w:r>
      <w:fldChar w:fldCharType="end"/>
    </w:r>
  </w:p>
  <w:p>
    <w:pPr>
      <w:pStyle w:val="2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31</w:t>
    </w:r>
    <w:r>
      <w:fldChar w:fldCharType="end"/>
    </w:r>
  </w:p>
  <w:p>
    <w:pPr>
      <w:pStyle w:val="24"/>
      <w:ind w:right="360" w:firstLine="360"/>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Pr>
    </w:pPr>
    <w:r>
      <w:fldChar w:fldCharType="begin"/>
    </w:r>
    <w:r>
      <w:rPr>
        <w:rStyle w:val="41"/>
      </w:rPr>
      <w:instrText xml:space="preserve">PAGE  </w:instrText>
    </w:r>
    <w:r>
      <w:fldChar w:fldCharType="separate"/>
    </w:r>
    <w:r>
      <w:rPr>
        <w:rStyle w:val="41"/>
      </w:rPr>
      <w:t>55</w:t>
    </w:r>
    <w:r>
      <w:fldChar w:fldCharType="end"/>
    </w:r>
  </w:p>
  <w:p>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1"/>
        <w:szCs w:val="21"/>
        <w:u w:val="single"/>
      </w:rPr>
    </w:pPr>
    <w:r>
      <w:rPr>
        <w:rFonts w:hint="eastAsia" w:ascii="宋体" w:cs="宋体"/>
        <w:kern w:val="0"/>
        <w:sz w:val="21"/>
        <w:szCs w:val="21"/>
        <w:u w:val="single"/>
      </w:rPr>
      <w:t>污水处理站沉淀池清淤服务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1"/>
        <w:szCs w:val="21"/>
        <w:u w:val="single"/>
      </w:rPr>
    </w:pPr>
    <w:r>
      <w:rPr>
        <w:rFonts w:hint="eastAsia" w:ascii="宋体" w:cs="宋体"/>
        <w:kern w:val="0"/>
        <w:sz w:val="21"/>
        <w:szCs w:val="21"/>
        <w:u w:val="single"/>
      </w:rPr>
      <w:t>污水处理站沉淀池清淤服务                           竞争性磋商采购文件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25FEA"/>
    <w:multiLevelType w:val="singleLevel"/>
    <w:tmpl w:val="82525FEA"/>
    <w:lvl w:ilvl="0" w:tentative="0">
      <w:start w:val="7"/>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23748B8"/>
    <w:multiLevelType w:val="singleLevel"/>
    <w:tmpl w:val="023748B8"/>
    <w:lvl w:ilvl="0" w:tentative="0">
      <w:start w:val="1"/>
      <w:numFmt w:val="chineseCounting"/>
      <w:suff w:val="nothing"/>
      <w:lvlText w:val="（%1）"/>
      <w:lvlJc w:val="left"/>
      <w:rPr>
        <w:rFonts w:hint="eastAsia"/>
      </w:rPr>
    </w:lvl>
  </w:abstractNum>
  <w:abstractNum w:abstractNumId="3">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230DBD4D"/>
    <w:multiLevelType w:val="singleLevel"/>
    <w:tmpl w:val="230DBD4D"/>
    <w:lvl w:ilvl="0" w:tentative="0">
      <w:start w:val="1"/>
      <w:numFmt w:val="decimal"/>
      <w:suff w:val="nothing"/>
      <w:lvlText w:val="%1、"/>
      <w:lvlJc w:val="left"/>
    </w:lvl>
  </w:abstractNum>
  <w:abstractNum w:abstractNumId="5">
    <w:nsid w:val="5BDAEEA1"/>
    <w:multiLevelType w:val="singleLevel"/>
    <w:tmpl w:val="5BDAEEA1"/>
    <w:lvl w:ilvl="0" w:tentative="0">
      <w:start w:val="5"/>
      <w:numFmt w:val="chineseCounting"/>
      <w:suff w:val="nothing"/>
      <w:lvlText w:val="%1、"/>
      <w:lvlJc w:val="left"/>
      <w:rPr>
        <w:rFonts w:hint="eastAsia"/>
      </w:rPr>
    </w:lvl>
  </w:abstractNum>
  <w:abstractNum w:abstractNumId="6">
    <w:nsid w:val="7312E0DD"/>
    <w:multiLevelType w:val="singleLevel"/>
    <w:tmpl w:val="7312E0DD"/>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BookNames" w:val="year1_2;filetype1_2"/>
    <w:docVar w:name="commondata" w:val="eyJoZGlkIjoiMDMyZWExYTkzMjkxZDAyMDI2NjhmMzlhZDRkOTM1MT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870"/>
    <w:rsid w:val="000040CA"/>
    <w:rsid w:val="000051BF"/>
    <w:rsid w:val="00005423"/>
    <w:rsid w:val="0000589C"/>
    <w:rsid w:val="00005907"/>
    <w:rsid w:val="00005AB9"/>
    <w:rsid w:val="00011A2A"/>
    <w:rsid w:val="00012366"/>
    <w:rsid w:val="00013555"/>
    <w:rsid w:val="000135FE"/>
    <w:rsid w:val="00013BB9"/>
    <w:rsid w:val="00013EDB"/>
    <w:rsid w:val="00014878"/>
    <w:rsid w:val="00014F07"/>
    <w:rsid w:val="000155BB"/>
    <w:rsid w:val="000161F0"/>
    <w:rsid w:val="00016C0D"/>
    <w:rsid w:val="00017541"/>
    <w:rsid w:val="00021360"/>
    <w:rsid w:val="000238E4"/>
    <w:rsid w:val="00023944"/>
    <w:rsid w:val="00024123"/>
    <w:rsid w:val="0002470F"/>
    <w:rsid w:val="00024725"/>
    <w:rsid w:val="00025A98"/>
    <w:rsid w:val="000263A1"/>
    <w:rsid w:val="000263E9"/>
    <w:rsid w:val="00026535"/>
    <w:rsid w:val="000270AE"/>
    <w:rsid w:val="00027550"/>
    <w:rsid w:val="00027E4C"/>
    <w:rsid w:val="000300C9"/>
    <w:rsid w:val="000306D2"/>
    <w:rsid w:val="00030E9A"/>
    <w:rsid w:val="0003120D"/>
    <w:rsid w:val="000313BC"/>
    <w:rsid w:val="00031739"/>
    <w:rsid w:val="00034D41"/>
    <w:rsid w:val="0003518F"/>
    <w:rsid w:val="00037E11"/>
    <w:rsid w:val="000426BA"/>
    <w:rsid w:val="00042C23"/>
    <w:rsid w:val="000433AA"/>
    <w:rsid w:val="00043864"/>
    <w:rsid w:val="00043CD8"/>
    <w:rsid w:val="0004414C"/>
    <w:rsid w:val="00045A2D"/>
    <w:rsid w:val="0004631D"/>
    <w:rsid w:val="00046650"/>
    <w:rsid w:val="00047CC2"/>
    <w:rsid w:val="00047E0E"/>
    <w:rsid w:val="00050B4C"/>
    <w:rsid w:val="00052144"/>
    <w:rsid w:val="00053B0D"/>
    <w:rsid w:val="00053E11"/>
    <w:rsid w:val="00055AC4"/>
    <w:rsid w:val="00056957"/>
    <w:rsid w:val="00056C1F"/>
    <w:rsid w:val="00060D98"/>
    <w:rsid w:val="00061128"/>
    <w:rsid w:val="00064970"/>
    <w:rsid w:val="00065278"/>
    <w:rsid w:val="00065CF8"/>
    <w:rsid w:val="0006620D"/>
    <w:rsid w:val="00066BF4"/>
    <w:rsid w:val="00066E4B"/>
    <w:rsid w:val="000676E7"/>
    <w:rsid w:val="00067BEF"/>
    <w:rsid w:val="00070402"/>
    <w:rsid w:val="00072734"/>
    <w:rsid w:val="00074A89"/>
    <w:rsid w:val="00076EBC"/>
    <w:rsid w:val="000778A8"/>
    <w:rsid w:val="00080023"/>
    <w:rsid w:val="000801BF"/>
    <w:rsid w:val="00081C74"/>
    <w:rsid w:val="00082045"/>
    <w:rsid w:val="000826C4"/>
    <w:rsid w:val="00082FA1"/>
    <w:rsid w:val="000842DB"/>
    <w:rsid w:val="00084314"/>
    <w:rsid w:val="00084A7E"/>
    <w:rsid w:val="00085648"/>
    <w:rsid w:val="000871DE"/>
    <w:rsid w:val="000874FB"/>
    <w:rsid w:val="00090E72"/>
    <w:rsid w:val="00090EA8"/>
    <w:rsid w:val="00091145"/>
    <w:rsid w:val="00092EAE"/>
    <w:rsid w:val="000952B1"/>
    <w:rsid w:val="00095549"/>
    <w:rsid w:val="00095B38"/>
    <w:rsid w:val="00096151"/>
    <w:rsid w:val="00096CEC"/>
    <w:rsid w:val="00096F1D"/>
    <w:rsid w:val="00097533"/>
    <w:rsid w:val="0009772D"/>
    <w:rsid w:val="000A067E"/>
    <w:rsid w:val="000A1F7A"/>
    <w:rsid w:val="000A2666"/>
    <w:rsid w:val="000A29BA"/>
    <w:rsid w:val="000A359C"/>
    <w:rsid w:val="000A3F9F"/>
    <w:rsid w:val="000A4E33"/>
    <w:rsid w:val="000A7E2E"/>
    <w:rsid w:val="000B0378"/>
    <w:rsid w:val="000B0C63"/>
    <w:rsid w:val="000B17A1"/>
    <w:rsid w:val="000B234A"/>
    <w:rsid w:val="000B3ADD"/>
    <w:rsid w:val="000B4939"/>
    <w:rsid w:val="000B4ACE"/>
    <w:rsid w:val="000B4C97"/>
    <w:rsid w:val="000B555D"/>
    <w:rsid w:val="000B5574"/>
    <w:rsid w:val="000B5A2C"/>
    <w:rsid w:val="000B74CD"/>
    <w:rsid w:val="000B76F0"/>
    <w:rsid w:val="000B7DE6"/>
    <w:rsid w:val="000C0428"/>
    <w:rsid w:val="000C049F"/>
    <w:rsid w:val="000C074C"/>
    <w:rsid w:val="000C1EE7"/>
    <w:rsid w:val="000C24D5"/>
    <w:rsid w:val="000C3AEA"/>
    <w:rsid w:val="000C3D48"/>
    <w:rsid w:val="000C4584"/>
    <w:rsid w:val="000C4BAE"/>
    <w:rsid w:val="000C51A9"/>
    <w:rsid w:val="000C6185"/>
    <w:rsid w:val="000C6432"/>
    <w:rsid w:val="000C7D47"/>
    <w:rsid w:val="000C7E5E"/>
    <w:rsid w:val="000D1A1E"/>
    <w:rsid w:val="000D27CD"/>
    <w:rsid w:val="000D2E41"/>
    <w:rsid w:val="000D35B2"/>
    <w:rsid w:val="000D3FCA"/>
    <w:rsid w:val="000D41C5"/>
    <w:rsid w:val="000D4207"/>
    <w:rsid w:val="000D46AE"/>
    <w:rsid w:val="000D4C1E"/>
    <w:rsid w:val="000D5233"/>
    <w:rsid w:val="000D5313"/>
    <w:rsid w:val="000D5554"/>
    <w:rsid w:val="000D5A50"/>
    <w:rsid w:val="000D6137"/>
    <w:rsid w:val="000D6179"/>
    <w:rsid w:val="000E0122"/>
    <w:rsid w:val="000E22C9"/>
    <w:rsid w:val="000E2B2C"/>
    <w:rsid w:val="000E3175"/>
    <w:rsid w:val="000E3DFA"/>
    <w:rsid w:val="000E42F6"/>
    <w:rsid w:val="000E4684"/>
    <w:rsid w:val="000E630D"/>
    <w:rsid w:val="000E7265"/>
    <w:rsid w:val="000E7730"/>
    <w:rsid w:val="000F0B95"/>
    <w:rsid w:val="000F161C"/>
    <w:rsid w:val="000F1AB6"/>
    <w:rsid w:val="000F1BD4"/>
    <w:rsid w:val="000F2456"/>
    <w:rsid w:val="000F2D41"/>
    <w:rsid w:val="000F318A"/>
    <w:rsid w:val="000F3AFC"/>
    <w:rsid w:val="000F4976"/>
    <w:rsid w:val="000F4CDF"/>
    <w:rsid w:val="000F4F3F"/>
    <w:rsid w:val="000F5D5E"/>
    <w:rsid w:val="000F66FB"/>
    <w:rsid w:val="001001B8"/>
    <w:rsid w:val="001011B8"/>
    <w:rsid w:val="00103D7E"/>
    <w:rsid w:val="00104F04"/>
    <w:rsid w:val="001061A4"/>
    <w:rsid w:val="00107547"/>
    <w:rsid w:val="001104E7"/>
    <w:rsid w:val="001107A1"/>
    <w:rsid w:val="001119D0"/>
    <w:rsid w:val="00112B8C"/>
    <w:rsid w:val="00113B82"/>
    <w:rsid w:val="00114AB0"/>
    <w:rsid w:val="0011551B"/>
    <w:rsid w:val="0011551D"/>
    <w:rsid w:val="0011577C"/>
    <w:rsid w:val="00115A36"/>
    <w:rsid w:val="00115B92"/>
    <w:rsid w:val="0011639F"/>
    <w:rsid w:val="00116CF1"/>
    <w:rsid w:val="001204CA"/>
    <w:rsid w:val="001207A4"/>
    <w:rsid w:val="0012189B"/>
    <w:rsid w:val="00121CA7"/>
    <w:rsid w:val="00121D23"/>
    <w:rsid w:val="001229DA"/>
    <w:rsid w:val="00122D36"/>
    <w:rsid w:val="00124474"/>
    <w:rsid w:val="00125175"/>
    <w:rsid w:val="00126859"/>
    <w:rsid w:val="00126A11"/>
    <w:rsid w:val="00126C34"/>
    <w:rsid w:val="001311D9"/>
    <w:rsid w:val="0013170D"/>
    <w:rsid w:val="001319C1"/>
    <w:rsid w:val="0013346D"/>
    <w:rsid w:val="00133C0B"/>
    <w:rsid w:val="00134932"/>
    <w:rsid w:val="00134DFE"/>
    <w:rsid w:val="001356D3"/>
    <w:rsid w:val="001359A5"/>
    <w:rsid w:val="00135FA2"/>
    <w:rsid w:val="0013622D"/>
    <w:rsid w:val="00136A45"/>
    <w:rsid w:val="00137106"/>
    <w:rsid w:val="00142B9F"/>
    <w:rsid w:val="00143631"/>
    <w:rsid w:val="001457F8"/>
    <w:rsid w:val="00145C24"/>
    <w:rsid w:val="00145FFF"/>
    <w:rsid w:val="00146039"/>
    <w:rsid w:val="00150346"/>
    <w:rsid w:val="00150AE6"/>
    <w:rsid w:val="00150F6E"/>
    <w:rsid w:val="00151C7E"/>
    <w:rsid w:val="00153387"/>
    <w:rsid w:val="00153D00"/>
    <w:rsid w:val="0015494D"/>
    <w:rsid w:val="00154F74"/>
    <w:rsid w:val="00155036"/>
    <w:rsid w:val="0015654E"/>
    <w:rsid w:val="001566C3"/>
    <w:rsid w:val="001573F0"/>
    <w:rsid w:val="00157648"/>
    <w:rsid w:val="00160B3F"/>
    <w:rsid w:val="001621CB"/>
    <w:rsid w:val="00162596"/>
    <w:rsid w:val="00163490"/>
    <w:rsid w:val="00163A02"/>
    <w:rsid w:val="00163E38"/>
    <w:rsid w:val="00163FBC"/>
    <w:rsid w:val="0016404A"/>
    <w:rsid w:val="00164A91"/>
    <w:rsid w:val="00164B65"/>
    <w:rsid w:val="0016526B"/>
    <w:rsid w:val="00167999"/>
    <w:rsid w:val="00167ADF"/>
    <w:rsid w:val="001708A5"/>
    <w:rsid w:val="00171E60"/>
    <w:rsid w:val="00172FAE"/>
    <w:rsid w:val="001740E0"/>
    <w:rsid w:val="001747E1"/>
    <w:rsid w:val="00175478"/>
    <w:rsid w:val="00176669"/>
    <w:rsid w:val="001827BC"/>
    <w:rsid w:val="00182B69"/>
    <w:rsid w:val="00183D96"/>
    <w:rsid w:val="001840C9"/>
    <w:rsid w:val="00184DBF"/>
    <w:rsid w:val="001855BB"/>
    <w:rsid w:val="001867A0"/>
    <w:rsid w:val="00186849"/>
    <w:rsid w:val="0019065E"/>
    <w:rsid w:val="00192A79"/>
    <w:rsid w:val="00192B07"/>
    <w:rsid w:val="00193034"/>
    <w:rsid w:val="00193929"/>
    <w:rsid w:val="00193F7A"/>
    <w:rsid w:val="001949AB"/>
    <w:rsid w:val="00195009"/>
    <w:rsid w:val="0019555A"/>
    <w:rsid w:val="00195B38"/>
    <w:rsid w:val="00195BB5"/>
    <w:rsid w:val="0019638B"/>
    <w:rsid w:val="001967A3"/>
    <w:rsid w:val="00196CEE"/>
    <w:rsid w:val="00197367"/>
    <w:rsid w:val="00197F48"/>
    <w:rsid w:val="001A0B18"/>
    <w:rsid w:val="001A0D50"/>
    <w:rsid w:val="001A1395"/>
    <w:rsid w:val="001A2B46"/>
    <w:rsid w:val="001A311C"/>
    <w:rsid w:val="001A336A"/>
    <w:rsid w:val="001A386F"/>
    <w:rsid w:val="001A3994"/>
    <w:rsid w:val="001A3C29"/>
    <w:rsid w:val="001A506E"/>
    <w:rsid w:val="001A5083"/>
    <w:rsid w:val="001A52B4"/>
    <w:rsid w:val="001A5327"/>
    <w:rsid w:val="001A5736"/>
    <w:rsid w:val="001A5D3E"/>
    <w:rsid w:val="001A6067"/>
    <w:rsid w:val="001B0EEE"/>
    <w:rsid w:val="001B1150"/>
    <w:rsid w:val="001B1898"/>
    <w:rsid w:val="001B2F51"/>
    <w:rsid w:val="001B30AB"/>
    <w:rsid w:val="001B32E5"/>
    <w:rsid w:val="001B4077"/>
    <w:rsid w:val="001B67C7"/>
    <w:rsid w:val="001B6973"/>
    <w:rsid w:val="001B779B"/>
    <w:rsid w:val="001B7BCC"/>
    <w:rsid w:val="001C07B7"/>
    <w:rsid w:val="001C09EC"/>
    <w:rsid w:val="001C0BE3"/>
    <w:rsid w:val="001C1C13"/>
    <w:rsid w:val="001C2E3E"/>
    <w:rsid w:val="001C3313"/>
    <w:rsid w:val="001C3C03"/>
    <w:rsid w:val="001C3CBB"/>
    <w:rsid w:val="001C3EB6"/>
    <w:rsid w:val="001C42C3"/>
    <w:rsid w:val="001C6875"/>
    <w:rsid w:val="001C715F"/>
    <w:rsid w:val="001D01E0"/>
    <w:rsid w:val="001D02AB"/>
    <w:rsid w:val="001D05EE"/>
    <w:rsid w:val="001D0F0A"/>
    <w:rsid w:val="001D1172"/>
    <w:rsid w:val="001D1719"/>
    <w:rsid w:val="001D33F2"/>
    <w:rsid w:val="001D4FB4"/>
    <w:rsid w:val="001D6770"/>
    <w:rsid w:val="001D690F"/>
    <w:rsid w:val="001E0CC1"/>
    <w:rsid w:val="001E1B3B"/>
    <w:rsid w:val="001E1FD8"/>
    <w:rsid w:val="001E3234"/>
    <w:rsid w:val="001E3521"/>
    <w:rsid w:val="001E4F3D"/>
    <w:rsid w:val="001E56D0"/>
    <w:rsid w:val="001E5BE7"/>
    <w:rsid w:val="001E5F3D"/>
    <w:rsid w:val="001E6DDB"/>
    <w:rsid w:val="001E7AD2"/>
    <w:rsid w:val="001F0405"/>
    <w:rsid w:val="001F0871"/>
    <w:rsid w:val="001F22C5"/>
    <w:rsid w:val="001F2816"/>
    <w:rsid w:val="001F287F"/>
    <w:rsid w:val="001F297F"/>
    <w:rsid w:val="001F3141"/>
    <w:rsid w:val="001F4E0F"/>
    <w:rsid w:val="001F5AD7"/>
    <w:rsid w:val="001F6EA9"/>
    <w:rsid w:val="001F79FD"/>
    <w:rsid w:val="001F7EA7"/>
    <w:rsid w:val="00200010"/>
    <w:rsid w:val="00200E2E"/>
    <w:rsid w:val="00201E9E"/>
    <w:rsid w:val="00201FE9"/>
    <w:rsid w:val="00203451"/>
    <w:rsid w:val="00204936"/>
    <w:rsid w:val="00204FCD"/>
    <w:rsid w:val="00205412"/>
    <w:rsid w:val="00205741"/>
    <w:rsid w:val="00205A32"/>
    <w:rsid w:val="00206F54"/>
    <w:rsid w:val="00207864"/>
    <w:rsid w:val="00213591"/>
    <w:rsid w:val="002145BF"/>
    <w:rsid w:val="00217C08"/>
    <w:rsid w:val="002213C3"/>
    <w:rsid w:val="002217DE"/>
    <w:rsid w:val="00222AC9"/>
    <w:rsid w:val="00222FCE"/>
    <w:rsid w:val="00223A60"/>
    <w:rsid w:val="00223EFF"/>
    <w:rsid w:val="002255D9"/>
    <w:rsid w:val="00225837"/>
    <w:rsid w:val="00226142"/>
    <w:rsid w:val="0022658C"/>
    <w:rsid w:val="00226BC6"/>
    <w:rsid w:val="00230AEC"/>
    <w:rsid w:val="0023401E"/>
    <w:rsid w:val="0023414B"/>
    <w:rsid w:val="0023586A"/>
    <w:rsid w:val="0023610B"/>
    <w:rsid w:val="00237FFA"/>
    <w:rsid w:val="002412F7"/>
    <w:rsid w:val="00241314"/>
    <w:rsid w:val="00242DF7"/>
    <w:rsid w:val="00243489"/>
    <w:rsid w:val="002438E9"/>
    <w:rsid w:val="00243FE0"/>
    <w:rsid w:val="00244C4F"/>
    <w:rsid w:val="002451CE"/>
    <w:rsid w:val="002454DC"/>
    <w:rsid w:val="00245F0E"/>
    <w:rsid w:val="00246101"/>
    <w:rsid w:val="0024616E"/>
    <w:rsid w:val="00247C02"/>
    <w:rsid w:val="00247D99"/>
    <w:rsid w:val="002517CC"/>
    <w:rsid w:val="0025270D"/>
    <w:rsid w:val="00252C3B"/>
    <w:rsid w:val="002534E4"/>
    <w:rsid w:val="00254107"/>
    <w:rsid w:val="00255E36"/>
    <w:rsid w:val="002579D3"/>
    <w:rsid w:val="00257C37"/>
    <w:rsid w:val="0026047E"/>
    <w:rsid w:val="00261425"/>
    <w:rsid w:val="00261A3A"/>
    <w:rsid w:val="00261BA8"/>
    <w:rsid w:val="00263BC8"/>
    <w:rsid w:val="002646BE"/>
    <w:rsid w:val="00264B4D"/>
    <w:rsid w:val="00264F18"/>
    <w:rsid w:val="00264F32"/>
    <w:rsid w:val="00265FA3"/>
    <w:rsid w:val="00267364"/>
    <w:rsid w:val="00270C87"/>
    <w:rsid w:val="00270E1E"/>
    <w:rsid w:val="00273286"/>
    <w:rsid w:val="002744C0"/>
    <w:rsid w:val="00274B3B"/>
    <w:rsid w:val="00275B0A"/>
    <w:rsid w:val="0027670F"/>
    <w:rsid w:val="0027745A"/>
    <w:rsid w:val="002807BA"/>
    <w:rsid w:val="00280E18"/>
    <w:rsid w:val="002822FE"/>
    <w:rsid w:val="00282406"/>
    <w:rsid w:val="002836E9"/>
    <w:rsid w:val="002839D7"/>
    <w:rsid w:val="002842F3"/>
    <w:rsid w:val="00284461"/>
    <w:rsid w:val="002856A8"/>
    <w:rsid w:val="00286BC5"/>
    <w:rsid w:val="002910B8"/>
    <w:rsid w:val="00291B9E"/>
    <w:rsid w:val="0029310D"/>
    <w:rsid w:val="002933FC"/>
    <w:rsid w:val="0029463E"/>
    <w:rsid w:val="002952FC"/>
    <w:rsid w:val="00295ABE"/>
    <w:rsid w:val="00296F7D"/>
    <w:rsid w:val="0029757F"/>
    <w:rsid w:val="002A49BE"/>
    <w:rsid w:val="002B0A05"/>
    <w:rsid w:val="002B1372"/>
    <w:rsid w:val="002B3D48"/>
    <w:rsid w:val="002B41CE"/>
    <w:rsid w:val="002B631C"/>
    <w:rsid w:val="002B64C4"/>
    <w:rsid w:val="002B692E"/>
    <w:rsid w:val="002B6DAE"/>
    <w:rsid w:val="002B6E58"/>
    <w:rsid w:val="002B70EB"/>
    <w:rsid w:val="002B724A"/>
    <w:rsid w:val="002C052A"/>
    <w:rsid w:val="002C0A5E"/>
    <w:rsid w:val="002C1A1A"/>
    <w:rsid w:val="002C1FBE"/>
    <w:rsid w:val="002C2162"/>
    <w:rsid w:val="002C2458"/>
    <w:rsid w:val="002C2A6F"/>
    <w:rsid w:val="002C3EAF"/>
    <w:rsid w:val="002C47B8"/>
    <w:rsid w:val="002C4B80"/>
    <w:rsid w:val="002C4D1B"/>
    <w:rsid w:val="002C606C"/>
    <w:rsid w:val="002C6573"/>
    <w:rsid w:val="002C7059"/>
    <w:rsid w:val="002C726C"/>
    <w:rsid w:val="002C739B"/>
    <w:rsid w:val="002C7A9A"/>
    <w:rsid w:val="002C7F46"/>
    <w:rsid w:val="002D04BD"/>
    <w:rsid w:val="002D1F3B"/>
    <w:rsid w:val="002D1F4A"/>
    <w:rsid w:val="002D2DCC"/>
    <w:rsid w:val="002D3FCD"/>
    <w:rsid w:val="002D46E2"/>
    <w:rsid w:val="002D4E46"/>
    <w:rsid w:val="002D4EE6"/>
    <w:rsid w:val="002D50DA"/>
    <w:rsid w:val="002D58C0"/>
    <w:rsid w:val="002D68C9"/>
    <w:rsid w:val="002D757A"/>
    <w:rsid w:val="002D7CFF"/>
    <w:rsid w:val="002E0D60"/>
    <w:rsid w:val="002E2298"/>
    <w:rsid w:val="002E2545"/>
    <w:rsid w:val="002E30F6"/>
    <w:rsid w:val="002E347A"/>
    <w:rsid w:val="002E5866"/>
    <w:rsid w:val="002E68E7"/>
    <w:rsid w:val="002E6AEA"/>
    <w:rsid w:val="002E7E0E"/>
    <w:rsid w:val="002E7E40"/>
    <w:rsid w:val="002F005B"/>
    <w:rsid w:val="002F048A"/>
    <w:rsid w:val="002F06E0"/>
    <w:rsid w:val="002F18D4"/>
    <w:rsid w:val="002F1F64"/>
    <w:rsid w:val="002F2C99"/>
    <w:rsid w:val="002F3BA8"/>
    <w:rsid w:val="002F4CA4"/>
    <w:rsid w:val="002F53CD"/>
    <w:rsid w:val="002F69FB"/>
    <w:rsid w:val="002F6B2E"/>
    <w:rsid w:val="002F6C7F"/>
    <w:rsid w:val="00300578"/>
    <w:rsid w:val="0030106B"/>
    <w:rsid w:val="00301952"/>
    <w:rsid w:val="003024B2"/>
    <w:rsid w:val="00302C85"/>
    <w:rsid w:val="00302D60"/>
    <w:rsid w:val="0030382A"/>
    <w:rsid w:val="00303989"/>
    <w:rsid w:val="00303BAF"/>
    <w:rsid w:val="00303F44"/>
    <w:rsid w:val="00304B0C"/>
    <w:rsid w:val="00304FD1"/>
    <w:rsid w:val="00305216"/>
    <w:rsid w:val="003058D5"/>
    <w:rsid w:val="003079F9"/>
    <w:rsid w:val="0031135D"/>
    <w:rsid w:val="00311497"/>
    <w:rsid w:val="00311E00"/>
    <w:rsid w:val="00313354"/>
    <w:rsid w:val="003135CC"/>
    <w:rsid w:val="00313B15"/>
    <w:rsid w:val="00313E8E"/>
    <w:rsid w:val="00315BBC"/>
    <w:rsid w:val="00315F29"/>
    <w:rsid w:val="00316FAA"/>
    <w:rsid w:val="003173DE"/>
    <w:rsid w:val="00320009"/>
    <w:rsid w:val="003209E5"/>
    <w:rsid w:val="00321220"/>
    <w:rsid w:val="00321B44"/>
    <w:rsid w:val="00322379"/>
    <w:rsid w:val="0032258B"/>
    <w:rsid w:val="00322E09"/>
    <w:rsid w:val="00323833"/>
    <w:rsid w:val="00323B53"/>
    <w:rsid w:val="00325E0E"/>
    <w:rsid w:val="00326844"/>
    <w:rsid w:val="00326B11"/>
    <w:rsid w:val="00327E89"/>
    <w:rsid w:val="003321C6"/>
    <w:rsid w:val="00332BAD"/>
    <w:rsid w:val="00334230"/>
    <w:rsid w:val="003344D3"/>
    <w:rsid w:val="0033484C"/>
    <w:rsid w:val="00336F38"/>
    <w:rsid w:val="0033788A"/>
    <w:rsid w:val="00337FE7"/>
    <w:rsid w:val="003434E6"/>
    <w:rsid w:val="0034389E"/>
    <w:rsid w:val="00344063"/>
    <w:rsid w:val="003454E6"/>
    <w:rsid w:val="00345ED7"/>
    <w:rsid w:val="00346965"/>
    <w:rsid w:val="0035032E"/>
    <w:rsid w:val="003514EF"/>
    <w:rsid w:val="00353780"/>
    <w:rsid w:val="00353815"/>
    <w:rsid w:val="0035576A"/>
    <w:rsid w:val="00356D10"/>
    <w:rsid w:val="00356DA6"/>
    <w:rsid w:val="003575FF"/>
    <w:rsid w:val="00357C23"/>
    <w:rsid w:val="00360503"/>
    <w:rsid w:val="00361359"/>
    <w:rsid w:val="00361543"/>
    <w:rsid w:val="00361A35"/>
    <w:rsid w:val="00361E33"/>
    <w:rsid w:val="0036481D"/>
    <w:rsid w:val="00371C5F"/>
    <w:rsid w:val="00372CCE"/>
    <w:rsid w:val="00374675"/>
    <w:rsid w:val="00374C12"/>
    <w:rsid w:val="003757B3"/>
    <w:rsid w:val="00375C17"/>
    <w:rsid w:val="00375CCA"/>
    <w:rsid w:val="00377CF8"/>
    <w:rsid w:val="00380465"/>
    <w:rsid w:val="00380885"/>
    <w:rsid w:val="00380B1D"/>
    <w:rsid w:val="00380F90"/>
    <w:rsid w:val="0038173D"/>
    <w:rsid w:val="00381F0F"/>
    <w:rsid w:val="00382482"/>
    <w:rsid w:val="00382590"/>
    <w:rsid w:val="00384176"/>
    <w:rsid w:val="00384A62"/>
    <w:rsid w:val="00387B30"/>
    <w:rsid w:val="003900F6"/>
    <w:rsid w:val="00390B99"/>
    <w:rsid w:val="00391B6E"/>
    <w:rsid w:val="00392748"/>
    <w:rsid w:val="00393440"/>
    <w:rsid w:val="00393698"/>
    <w:rsid w:val="003938C1"/>
    <w:rsid w:val="00393D61"/>
    <w:rsid w:val="00393D84"/>
    <w:rsid w:val="003942C0"/>
    <w:rsid w:val="00394826"/>
    <w:rsid w:val="0039542C"/>
    <w:rsid w:val="0039677C"/>
    <w:rsid w:val="003967F6"/>
    <w:rsid w:val="003974B7"/>
    <w:rsid w:val="003A0E51"/>
    <w:rsid w:val="003A1D83"/>
    <w:rsid w:val="003A3118"/>
    <w:rsid w:val="003A41D9"/>
    <w:rsid w:val="003A4BB6"/>
    <w:rsid w:val="003A6E83"/>
    <w:rsid w:val="003A724B"/>
    <w:rsid w:val="003B000B"/>
    <w:rsid w:val="003B043A"/>
    <w:rsid w:val="003B3685"/>
    <w:rsid w:val="003B3EED"/>
    <w:rsid w:val="003B44C3"/>
    <w:rsid w:val="003B47E9"/>
    <w:rsid w:val="003B5EA9"/>
    <w:rsid w:val="003B65F2"/>
    <w:rsid w:val="003B6F84"/>
    <w:rsid w:val="003B7075"/>
    <w:rsid w:val="003C0037"/>
    <w:rsid w:val="003C08C2"/>
    <w:rsid w:val="003C0DEB"/>
    <w:rsid w:val="003C18F7"/>
    <w:rsid w:val="003C2C17"/>
    <w:rsid w:val="003C4413"/>
    <w:rsid w:val="003C623F"/>
    <w:rsid w:val="003C62D7"/>
    <w:rsid w:val="003C6475"/>
    <w:rsid w:val="003C6833"/>
    <w:rsid w:val="003C6D2C"/>
    <w:rsid w:val="003C7082"/>
    <w:rsid w:val="003D0AFF"/>
    <w:rsid w:val="003D1144"/>
    <w:rsid w:val="003D176E"/>
    <w:rsid w:val="003D1A65"/>
    <w:rsid w:val="003D2314"/>
    <w:rsid w:val="003D2A62"/>
    <w:rsid w:val="003D3C0C"/>
    <w:rsid w:val="003D43E4"/>
    <w:rsid w:val="003D4CA7"/>
    <w:rsid w:val="003D562D"/>
    <w:rsid w:val="003D5B8B"/>
    <w:rsid w:val="003D6794"/>
    <w:rsid w:val="003D67AE"/>
    <w:rsid w:val="003D6E02"/>
    <w:rsid w:val="003E2268"/>
    <w:rsid w:val="003E248A"/>
    <w:rsid w:val="003E25C9"/>
    <w:rsid w:val="003E31E5"/>
    <w:rsid w:val="003E54A2"/>
    <w:rsid w:val="003E5F99"/>
    <w:rsid w:val="003E60F5"/>
    <w:rsid w:val="003E6167"/>
    <w:rsid w:val="003E686E"/>
    <w:rsid w:val="003E7C26"/>
    <w:rsid w:val="003F1D31"/>
    <w:rsid w:val="003F1DA7"/>
    <w:rsid w:val="003F1F85"/>
    <w:rsid w:val="003F2B2C"/>
    <w:rsid w:val="003F3764"/>
    <w:rsid w:val="003F6F07"/>
    <w:rsid w:val="003F742E"/>
    <w:rsid w:val="003F79D8"/>
    <w:rsid w:val="00400C3B"/>
    <w:rsid w:val="00400C50"/>
    <w:rsid w:val="00401A96"/>
    <w:rsid w:val="00401F33"/>
    <w:rsid w:val="004029CF"/>
    <w:rsid w:val="00402BDF"/>
    <w:rsid w:val="00402CC4"/>
    <w:rsid w:val="004035DE"/>
    <w:rsid w:val="004049FD"/>
    <w:rsid w:val="00406058"/>
    <w:rsid w:val="0040793B"/>
    <w:rsid w:val="0040796F"/>
    <w:rsid w:val="00407ECB"/>
    <w:rsid w:val="00407F90"/>
    <w:rsid w:val="00410452"/>
    <w:rsid w:val="00410C3C"/>
    <w:rsid w:val="00411C63"/>
    <w:rsid w:val="00414A4E"/>
    <w:rsid w:val="0041566B"/>
    <w:rsid w:val="0041576D"/>
    <w:rsid w:val="004161EB"/>
    <w:rsid w:val="00422424"/>
    <w:rsid w:val="00422B3D"/>
    <w:rsid w:val="00422E12"/>
    <w:rsid w:val="004236BC"/>
    <w:rsid w:val="0042429B"/>
    <w:rsid w:val="00424969"/>
    <w:rsid w:val="0042502E"/>
    <w:rsid w:val="004259BF"/>
    <w:rsid w:val="00426C24"/>
    <w:rsid w:val="0042724D"/>
    <w:rsid w:val="0043037A"/>
    <w:rsid w:val="0043088C"/>
    <w:rsid w:val="004331F4"/>
    <w:rsid w:val="00433ABC"/>
    <w:rsid w:val="00433C09"/>
    <w:rsid w:val="00434E56"/>
    <w:rsid w:val="00440A42"/>
    <w:rsid w:val="00442C44"/>
    <w:rsid w:val="004458C8"/>
    <w:rsid w:val="00445DB2"/>
    <w:rsid w:val="00445FA7"/>
    <w:rsid w:val="00450BA4"/>
    <w:rsid w:val="00452046"/>
    <w:rsid w:val="004522AB"/>
    <w:rsid w:val="004549C3"/>
    <w:rsid w:val="00455B1B"/>
    <w:rsid w:val="00456844"/>
    <w:rsid w:val="00456D11"/>
    <w:rsid w:val="00457227"/>
    <w:rsid w:val="004600B6"/>
    <w:rsid w:val="0046022B"/>
    <w:rsid w:val="00460636"/>
    <w:rsid w:val="004613EA"/>
    <w:rsid w:val="00462C6F"/>
    <w:rsid w:val="00463544"/>
    <w:rsid w:val="00463580"/>
    <w:rsid w:val="00464E28"/>
    <w:rsid w:val="0046550B"/>
    <w:rsid w:val="00470C7C"/>
    <w:rsid w:val="00470DD0"/>
    <w:rsid w:val="00472169"/>
    <w:rsid w:val="004721C6"/>
    <w:rsid w:val="004732AD"/>
    <w:rsid w:val="004735C4"/>
    <w:rsid w:val="0047381D"/>
    <w:rsid w:val="00473E27"/>
    <w:rsid w:val="0047554C"/>
    <w:rsid w:val="00476E18"/>
    <w:rsid w:val="00477284"/>
    <w:rsid w:val="00477285"/>
    <w:rsid w:val="00477387"/>
    <w:rsid w:val="004808B6"/>
    <w:rsid w:val="00480C87"/>
    <w:rsid w:val="00482F8D"/>
    <w:rsid w:val="004842CD"/>
    <w:rsid w:val="004842EB"/>
    <w:rsid w:val="00485E78"/>
    <w:rsid w:val="0048623A"/>
    <w:rsid w:val="004862FE"/>
    <w:rsid w:val="00486B80"/>
    <w:rsid w:val="00487470"/>
    <w:rsid w:val="004877E8"/>
    <w:rsid w:val="00490279"/>
    <w:rsid w:val="004911E0"/>
    <w:rsid w:val="00491A6B"/>
    <w:rsid w:val="004921B7"/>
    <w:rsid w:val="0049248D"/>
    <w:rsid w:val="00492671"/>
    <w:rsid w:val="00492722"/>
    <w:rsid w:val="004944B3"/>
    <w:rsid w:val="0049515B"/>
    <w:rsid w:val="00495726"/>
    <w:rsid w:val="0049695A"/>
    <w:rsid w:val="00496E33"/>
    <w:rsid w:val="004970EF"/>
    <w:rsid w:val="004A12A7"/>
    <w:rsid w:val="004A254D"/>
    <w:rsid w:val="004A26C7"/>
    <w:rsid w:val="004A2F13"/>
    <w:rsid w:val="004A3B2A"/>
    <w:rsid w:val="004A4621"/>
    <w:rsid w:val="004A4909"/>
    <w:rsid w:val="004A51AA"/>
    <w:rsid w:val="004A59A6"/>
    <w:rsid w:val="004A5E46"/>
    <w:rsid w:val="004A5E90"/>
    <w:rsid w:val="004A7313"/>
    <w:rsid w:val="004A7ADA"/>
    <w:rsid w:val="004B0DD1"/>
    <w:rsid w:val="004B14BD"/>
    <w:rsid w:val="004B17BB"/>
    <w:rsid w:val="004B3959"/>
    <w:rsid w:val="004B4CA6"/>
    <w:rsid w:val="004B4D85"/>
    <w:rsid w:val="004B534C"/>
    <w:rsid w:val="004B5F20"/>
    <w:rsid w:val="004B625F"/>
    <w:rsid w:val="004B6A58"/>
    <w:rsid w:val="004B6DC7"/>
    <w:rsid w:val="004B6F89"/>
    <w:rsid w:val="004B7146"/>
    <w:rsid w:val="004B763C"/>
    <w:rsid w:val="004B7803"/>
    <w:rsid w:val="004B79F4"/>
    <w:rsid w:val="004C0DB2"/>
    <w:rsid w:val="004C28B7"/>
    <w:rsid w:val="004C4CF5"/>
    <w:rsid w:val="004C5814"/>
    <w:rsid w:val="004C6C94"/>
    <w:rsid w:val="004C6FE5"/>
    <w:rsid w:val="004C7541"/>
    <w:rsid w:val="004D0712"/>
    <w:rsid w:val="004D1BF6"/>
    <w:rsid w:val="004D1F61"/>
    <w:rsid w:val="004D23D5"/>
    <w:rsid w:val="004D2800"/>
    <w:rsid w:val="004D2841"/>
    <w:rsid w:val="004D480F"/>
    <w:rsid w:val="004D54E9"/>
    <w:rsid w:val="004D65F7"/>
    <w:rsid w:val="004D74F9"/>
    <w:rsid w:val="004D7F16"/>
    <w:rsid w:val="004D7F96"/>
    <w:rsid w:val="004E103E"/>
    <w:rsid w:val="004E1B1C"/>
    <w:rsid w:val="004E3A39"/>
    <w:rsid w:val="004E3B0D"/>
    <w:rsid w:val="004E4018"/>
    <w:rsid w:val="004E4BF3"/>
    <w:rsid w:val="004E4C53"/>
    <w:rsid w:val="004E54F0"/>
    <w:rsid w:val="004E5962"/>
    <w:rsid w:val="004E5C98"/>
    <w:rsid w:val="004E5DC8"/>
    <w:rsid w:val="004E6152"/>
    <w:rsid w:val="004E62DC"/>
    <w:rsid w:val="004E7B04"/>
    <w:rsid w:val="004F2708"/>
    <w:rsid w:val="004F316D"/>
    <w:rsid w:val="004F32EC"/>
    <w:rsid w:val="004F3B62"/>
    <w:rsid w:val="004F4195"/>
    <w:rsid w:val="004F4DCA"/>
    <w:rsid w:val="004F5EB1"/>
    <w:rsid w:val="004F63E5"/>
    <w:rsid w:val="004F69E9"/>
    <w:rsid w:val="005001FF"/>
    <w:rsid w:val="005003EB"/>
    <w:rsid w:val="00500ED0"/>
    <w:rsid w:val="00501F86"/>
    <w:rsid w:val="00502292"/>
    <w:rsid w:val="005024CE"/>
    <w:rsid w:val="00502A42"/>
    <w:rsid w:val="00502B86"/>
    <w:rsid w:val="00504CBE"/>
    <w:rsid w:val="00505BB4"/>
    <w:rsid w:val="00507996"/>
    <w:rsid w:val="00510DEC"/>
    <w:rsid w:val="00511951"/>
    <w:rsid w:val="00512B40"/>
    <w:rsid w:val="00512E42"/>
    <w:rsid w:val="005138B8"/>
    <w:rsid w:val="005153D6"/>
    <w:rsid w:val="0051633A"/>
    <w:rsid w:val="0051642E"/>
    <w:rsid w:val="0051701B"/>
    <w:rsid w:val="0051775D"/>
    <w:rsid w:val="00517C4B"/>
    <w:rsid w:val="00517E2E"/>
    <w:rsid w:val="00517E4C"/>
    <w:rsid w:val="00520079"/>
    <w:rsid w:val="005211E0"/>
    <w:rsid w:val="0052143A"/>
    <w:rsid w:val="00521660"/>
    <w:rsid w:val="00521AC2"/>
    <w:rsid w:val="00523104"/>
    <w:rsid w:val="00523140"/>
    <w:rsid w:val="00524C37"/>
    <w:rsid w:val="00524CAF"/>
    <w:rsid w:val="00524D63"/>
    <w:rsid w:val="00525C33"/>
    <w:rsid w:val="00526B45"/>
    <w:rsid w:val="00527C2C"/>
    <w:rsid w:val="00530301"/>
    <w:rsid w:val="00530429"/>
    <w:rsid w:val="00533128"/>
    <w:rsid w:val="00533E51"/>
    <w:rsid w:val="0053403F"/>
    <w:rsid w:val="00534711"/>
    <w:rsid w:val="00535B92"/>
    <w:rsid w:val="00537CFC"/>
    <w:rsid w:val="005412BD"/>
    <w:rsid w:val="00542691"/>
    <w:rsid w:val="00542E10"/>
    <w:rsid w:val="00544318"/>
    <w:rsid w:val="00546929"/>
    <w:rsid w:val="00546AC6"/>
    <w:rsid w:val="005477F4"/>
    <w:rsid w:val="00547F8C"/>
    <w:rsid w:val="00550ECD"/>
    <w:rsid w:val="005524F4"/>
    <w:rsid w:val="00552A02"/>
    <w:rsid w:val="00554758"/>
    <w:rsid w:val="00556F65"/>
    <w:rsid w:val="005570AB"/>
    <w:rsid w:val="00560964"/>
    <w:rsid w:val="005614D0"/>
    <w:rsid w:val="00563CA8"/>
    <w:rsid w:val="005652D4"/>
    <w:rsid w:val="005654AF"/>
    <w:rsid w:val="005671B8"/>
    <w:rsid w:val="00567437"/>
    <w:rsid w:val="00570968"/>
    <w:rsid w:val="00570F86"/>
    <w:rsid w:val="00572F08"/>
    <w:rsid w:val="005732A2"/>
    <w:rsid w:val="0057463B"/>
    <w:rsid w:val="00574772"/>
    <w:rsid w:val="00574A17"/>
    <w:rsid w:val="00575F25"/>
    <w:rsid w:val="005760FE"/>
    <w:rsid w:val="00576308"/>
    <w:rsid w:val="005763A7"/>
    <w:rsid w:val="005766B2"/>
    <w:rsid w:val="005774A1"/>
    <w:rsid w:val="00577A5C"/>
    <w:rsid w:val="00580A7D"/>
    <w:rsid w:val="005842F1"/>
    <w:rsid w:val="005879C3"/>
    <w:rsid w:val="0059242D"/>
    <w:rsid w:val="00592951"/>
    <w:rsid w:val="00593DD5"/>
    <w:rsid w:val="005952BF"/>
    <w:rsid w:val="005963FC"/>
    <w:rsid w:val="005978B3"/>
    <w:rsid w:val="00597D35"/>
    <w:rsid w:val="005A06EB"/>
    <w:rsid w:val="005A0E0E"/>
    <w:rsid w:val="005A14FE"/>
    <w:rsid w:val="005A2D99"/>
    <w:rsid w:val="005A3094"/>
    <w:rsid w:val="005A4F08"/>
    <w:rsid w:val="005A61D1"/>
    <w:rsid w:val="005A695A"/>
    <w:rsid w:val="005A71EA"/>
    <w:rsid w:val="005B299D"/>
    <w:rsid w:val="005B2BFA"/>
    <w:rsid w:val="005B3CD0"/>
    <w:rsid w:val="005B4129"/>
    <w:rsid w:val="005B4EAE"/>
    <w:rsid w:val="005B5C16"/>
    <w:rsid w:val="005B64FB"/>
    <w:rsid w:val="005C0311"/>
    <w:rsid w:val="005C091A"/>
    <w:rsid w:val="005C1780"/>
    <w:rsid w:val="005C2B23"/>
    <w:rsid w:val="005C3CBF"/>
    <w:rsid w:val="005C3F0D"/>
    <w:rsid w:val="005C45D9"/>
    <w:rsid w:val="005C4DE5"/>
    <w:rsid w:val="005C561A"/>
    <w:rsid w:val="005C56A7"/>
    <w:rsid w:val="005C61AA"/>
    <w:rsid w:val="005C6D76"/>
    <w:rsid w:val="005D1B28"/>
    <w:rsid w:val="005D2323"/>
    <w:rsid w:val="005D35EC"/>
    <w:rsid w:val="005D47B0"/>
    <w:rsid w:val="005D4956"/>
    <w:rsid w:val="005D4D3F"/>
    <w:rsid w:val="005D57E9"/>
    <w:rsid w:val="005D5975"/>
    <w:rsid w:val="005D5A5E"/>
    <w:rsid w:val="005D64AA"/>
    <w:rsid w:val="005D6A85"/>
    <w:rsid w:val="005D7D01"/>
    <w:rsid w:val="005E0941"/>
    <w:rsid w:val="005E14D5"/>
    <w:rsid w:val="005E196C"/>
    <w:rsid w:val="005E238C"/>
    <w:rsid w:val="005E345F"/>
    <w:rsid w:val="005E3965"/>
    <w:rsid w:val="005E3DB6"/>
    <w:rsid w:val="005E4139"/>
    <w:rsid w:val="005E4692"/>
    <w:rsid w:val="005E739B"/>
    <w:rsid w:val="005F25D4"/>
    <w:rsid w:val="005F27D7"/>
    <w:rsid w:val="005F2B5F"/>
    <w:rsid w:val="005F39A5"/>
    <w:rsid w:val="005F39F5"/>
    <w:rsid w:val="005F45DD"/>
    <w:rsid w:val="005F46CA"/>
    <w:rsid w:val="005F50B4"/>
    <w:rsid w:val="005F5194"/>
    <w:rsid w:val="005F5303"/>
    <w:rsid w:val="005F5C98"/>
    <w:rsid w:val="005F7AEE"/>
    <w:rsid w:val="00602D52"/>
    <w:rsid w:val="00602DDB"/>
    <w:rsid w:val="0060311E"/>
    <w:rsid w:val="00605D4F"/>
    <w:rsid w:val="006079F4"/>
    <w:rsid w:val="00610042"/>
    <w:rsid w:val="0061084D"/>
    <w:rsid w:val="00610D52"/>
    <w:rsid w:val="0061144E"/>
    <w:rsid w:val="00611BC1"/>
    <w:rsid w:val="00612E7C"/>
    <w:rsid w:val="0061391F"/>
    <w:rsid w:val="006156D9"/>
    <w:rsid w:val="00617BFA"/>
    <w:rsid w:val="00617EBA"/>
    <w:rsid w:val="006203F1"/>
    <w:rsid w:val="006209AA"/>
    <w:rsid w:val="00620EF9"/>
    <w:rsid w:val="00621379"/>
    <w:rsid w:val="00621B08"/>
    <w:rsid w:val="006239F3"/>
    <w:rsid w:val="00623F93"/>
    <w:rsid w:val="006258AB"/>
    <w:rsid w:val="00627165"/>
    <w:rsid w:val="0062767E"/>
    <w:rsid w:val="00627BEB"/>
    <w:rsid w:val="00627F1C"/>
    <w:rsid w:val="0063120C"/>
    <w:rsid w:val="00632E89"/>
    <w:rsid w:val="006347F0"/>
    <w:rsid w:val="0063482A"/>
    <w:rsid w:val="0063492D"/>
    <w:rsid w:val="006411DA"/>
    <w:rsid w:val="006425FB"/>
    <w:rsid w:val="00642A5E"/>
    <w:rsid w:val="00642C07"/>
    <w:rsid w:val="00643A9F"/>
    <w:rsid w:val="00643D77"/>
    <w:rsid w:val="006454B3"/>
    <w:rsid w:val="0064562B"/>
    <w:rsid w:val="00645A1D"/>
    <w:rsid w:val="00646368"/>
    <w:rsid w:val="00650AB6"/>
    <w:rsid w:val="00650C74"/>
    <w:rsid w:val="006511FD"/>
    <w:rsid w:val="0065420B"/>
    <w:rsid w:val="00655271"/>
    <w:rsid w:val="00657029"/>
    <w:rsid w:val="00660962"/>
    <w:rsid w:val="00661903"/>
    <w:rsid w:val="00662DC1"/>
    <w:rsid w:val="00663A7D"/>
    <w:rsid w:val="00663FD5"/>
    <w:rsid w:val="00665636"/>
    <w:rsid w:val="0066630A"/>
    <w:rsid w:val="00666BD8"/>
    <w:rsid w:val="0067232A"/>
    <w:rsid w:val="00672B0E"/>
    <w:rsid w:val="0067302E"/>
    <w:rsid w:val="00674837"/>
    <w:rsid w:val="00675CF6"/>
    <w:rsid w:val="00676516"/>
    <w:rsid w:val="006809A9"/>
    <w:rsid w:val="006814B3"/>
    <w:rsid w:val="00681D55"/>
    <w:rsid w:val="006828E5"/>
    <w:rsid w:val="00683BB7"/>
    <w:rsid w:val="00683D96"/>
    <w:rsid w:val="00684DB1"/>
    <w:rsid w:val="00686D2D"/>
    <w:rsid w:val="006870DC"/>
    <w:rsid w:val="0069096D"/>
    <w:rsid w:val="0069133E"/>
    <w:rsid w:val="00691E23"/>
    <w:rsid w:val="00691FEA"/>
    <w:rsid w:val="00692D85"/>
    <w:rsid w:val="00695048"/>
    <w:rsid w:val="006977F8"/>
    <w:rsid w:val="006A00C0"/>
    <w:rsid w:val="006A0502"/>
    <w:rsid w:val="006A1747"/>
    <w:rsid w:val="006A1DE8"/>
    <w:rsid w:val="006A3170"/>
    <w:rsid w:val="006A383F"/>
    <w:rsid w:val="006A3B85"/>
    <w:rsid w:val="006A4505"/>
    <w:rsid w:val="006A5042"/>
    <w:rsid w:val="006A513C"/>
    <w:rsid w:val="006A583A"/>
    <w:rsid w:val="006A73A9"/>
    <w:rsid w:val="006A741D"/>
    <w:rsid w:val="006B0362"/>
    <w:rsid w:val="006B17DA"/>
    <w:rsid w:val="006B3320"/>
    <w:rsid w:val="006C194F"/>
    <w:rsid w:val="006C1A0C"/>
    <w:rsid w:val="006C1A8A"/>
    <w:rsid w:val="006C2361"/>
    <w:rsid w:val="006C28F1"/>
    <w:rsid w:val="006C2FF0"/>
    <w:rsid w:val="006C36C5"/>
    <w:rsid w:val="006C3E4E"/>
    <w:rsid w:val="006C49BA"/>
    <w:rsid w:val="006C6CC7"/>
    <w:rsid w:val="006C7B2A"/>
    <w:rsid w:val="006D07C0"/>
    <w:rsid w:val="006D092F"/>
    <w:rsid w:val="006D0C12"/>
    <w:rsid w:val="006D1349"/>
    <w:rsid w:val="006D37D2"/>
    <w:rsid w:val="006D37DC"/>
    <w:rsid w:val="006D3C92"/>
    <w:rsid w:val="006D48F9"/>
    <w:rsid w:val="006D5013"/>
    <w:rsid w:val="006D597E"/>
    <w:rsid w:val="006D5AC1"/>
    <w:rsid w:val="006D6255"/>
    <w:rsid w:val="006D6C93"/>
    <w:rsid w:val="006D7012"/>
    <w:rsid w:val="006D73C2"/>
    <w:rsid w:val="006D7DFC"/>
    <w:rsid w:val="006E04DD"/>
    <w:rsid w:val="006E0A2D"/>
    <w:rsid w:val="006E516B"/>
    <w:rsid w:val="006E5E13"/>
    <w:rsid w:val="006E6D64"/>
    <w:rsid w:val="006E6D99"/>
    <w:rsid w:val="006E769F"/>
    <w:rsid w:val="006F0685"/>
    <w:rsid w:val="006F1A75"/>
    <w:rsid w:val="006F1DFD"/>
    <w:rsid w:val="006F2C8A"/>
    <w:rsid w:val="006F70DC"/>
    <w:rsid w:val="006F72DA"/>
    <w:rsid w:val="007007B3"/>
    <w:rsid w:val="00700A1A"/>
    <w:rsid w:val="00700F4E"/>
    <w:rsid w:val="00701C98"/>
    <w:rsid w:val="0070288D"/>
    <w:rsid w:val="0070356C"/>
    <w:rsid w:val="0070385A"/>
    <w:rsid w:val="00703CB5"/>
    <w:rsid w:val="007048FC"/>
    <w:rsid w:val="00707475"/>
    <w:rsid w:val="0070786E"/>
    <w:rsid w:val="0071006B"/>
    <w:rsid w:val="007106A5"/>
    <w:rsid w:val="00710A25"/>
    <w:rsid w:val="00710CDC"/>
    <w:rsid w:val="007121AA"/>
    <w:rsid w:val="00714570"/>
    <w:rsid w:val="00714789"/>
    <w:rsid w:val="00715357"/>
    <w:rsid w:val="00716BB6"/>
    <w:rsid w:val="00723803"/>
    <w:rsid w:val="00723E94"/>
    <w:rsid w:val="00723ECC"/>
    <w:rsid w:val="00724088"/>
    <w:rsid w:val="00724C55"/>
    <w:rsid w:val="00724F35"/>
    <w:rsid w:val="007254B5"/>
    <w:rsid w:val="0072566E"/>
    <w:rsid w:val="00726C47"/>
    <w:rsid w:val="0072798F"/>
    <w:rsid w:val="007301A0"/>
    <w:rsid w:val="00731DE0"/>
    <w:rsid w:val="00732EC4"/>
    <w:rsid w:val="00733E64"/>
    <w:rsid w:val="007344F0"/>
    <w:rsid w:val="00735942"/>
    <w:rsid w:val="0073667E"/>
    <w:rsid w:val="00740E57"/>
    <w:rsid w:val="00742954"/>
    <w:rsid w:val="00742B7B"/>
    <w:rsid w:val="00742DFB"/>
    <w:rsid w:val="00743459"/>
    <w:rsid w:val="00743467"/>
    <w:rsid w:val="007435E8"/>
    <w:rsid w:val="00743755"/>
    <w:rsid w:val="00743A51"/>
    <w:rsid w:val="00743CEB"/>
    <w:rsid w:val="00744022"/>
    <w:rsid w:val="007505DF"/>
    <w:rsid w:val="007508A1"/>
    <w:rsid w:val="007519C5"/>
    <w:rsid w:val="00753F72"/>
    <w:rsid w:val="00754FE5"/>
    <w:rsid w:val="007566A4"/>
    <w:rsid w:val="007566ED"/>
    <w:rsid w:val="007613F6"/>
    <w:rsid w:val="00761934"/>
    <w:rsid w:val="00761A16"/>
    <w:rsid w:val="00761F47"/>
    <w:rsid w:val="00764D60"/>
    <w:rsid w:val="00765B1C"/>
    <w:rsid w:val="00765CD9"/>
    <w:rsid w:val="00766252"/>
    <w:rsid w:val="00766B19"/>
    <w:rsid w:val="00766CC6"/>
    <w:rsid w:val="00770C05"/>
    <w:rsid w:val="007713B1"/>
    <w:rsid w:val="0077177C"/>
    <w:rsid w:val="00772373"/>
    <w:rsid w:val="00772637"/>
    <w:rsid w:val="00772EBE"/>
    <w:rsid w:val="0077386C"/>
    <w:rsid w:val="00773DF0"/>
    <w:rsid w:val="00774A1B"/>
    <w:rsid w:val="0077555B"/>
    <w:rsid w:val="007757D2"/>
    <w:rsid w:val="007764E3"/>
    <w:rsid w:val="007806BB"/>
    <w:rsid w:val="007810DA"/>
    <w:rsid w:val="00781480"/>
    <w:rsid w:val="00782B0B"/>
    <w:rsid w:val="0078417B"/>
    <w:rsid w:val="00784664"/>
    <w:rsid w:val="00785FF2"/>
    <w:rsid w:val="00786206"/>
    <w:rsid w:val="00786D41"/>
    <w:rsid w:val="007873A6"/>
    <w:rsid w:val="00790BB6"/>
    <w:rsid w:val="0079296C"/>
    <w:rsid w:val="00793185"/>
    <w:rsid w:val="00794C02"/>
    <w:rsid w:val="0079644E"/>
    <w:rsid w:val="00796D7B"/>
    <w:rsid w:val="00797BDC"/>
    <w:rsid w:val="007A017B"/>
    <w:rsid w:val="007A074A"/>
    <w:rsid w:val="007A179D"/>
    <w:rsid w:val="007A242C"/>
    <w:rsid w:val="007A2B98"/>
    <w:rsid w:val="007A4C97"/>
    <w:rsid w:val="007A5572"/>
    <w:rsid w:val="007A6903"/>
    <w:rsid w:val="007B07D0"/>
    <w:rsid w:val="007B19DB"/>
    <w:rsid w:val="007B1D6B"/>
    <w:rsid w:val="007B2E84"/>
    <w:rsid w:val="007B3585"/>
    <w:rsid w:val="007B38CD"/>
    <w:rsid w:val="007B40DB"/>
    <w:rsid w:val="007B5448"/>
    <w:rsid w:val="007B6D9D"/>
    <w:rsid w:val="007C18F4"/>
    <w:rsid w:val="007C1D02"/>
    <w:rsid w:val="007C28FD"/>
    <w:rsid w:val="007C3411"/>
    <w:rsid w:val="007C3600"/>
    <w:rsid w:val="007C39D3"/>
    <w:rsid w:val="007C4768"/>
    <w:rsid w:val="007C5AE3"/>
    <w:rsid w:val="007C75A7"/>
    <w:rsid w:val="007C7F65"/>
    <w:rsid w:val="007D1130"/>
    <w:rsid w:val="007D125A"/>
    <w:rsid w:val="007D32AA"/>
    <w:rsid w:val="007D471D"/>
    <w:rsid w:val="007D4EBE"/>
    <w:rsid w:val="007D5065"/>
    <w:rsid w:val="007D6278"/>
    <w:rsid w:val="007D6A60"/>
    <w:rsid w:val="007D6EFE"/>
    <w:rsid w:val="007D7CAD"/>
    <w:rsid w:val="007E20D7"/>
    <w:rsid w:val="007E394F"/>
    <w:rsid w:val="007E45DF"/>
    <w:rsid w:val="007F2724"/>
    <w:rsid w:val="007F2937"/>
    <w:rsid w:val="007F3E11"/>
    <w:rsid w:val="007F479F"/>
    <w:rsid w:val="007F4B5F"/>
    <w:rsid w:val="007F521A"/>
    <w:rsid w:val="007F5A82"/>
    <w:rsid w:val="008000E3"/>
    <w:rsid w:val="00800CE6"/>
    <w:rsid w:val="00801DB1"/>
    <w:rsid w:val="0080236D"/>
    <w:rsid w:val="008024AB"/>
    <w:rsid w:val="00802940"/>
    <w:rsid w:val="008036FC"/>
    <w:rsid w:val="00805534"/>
    <w:rsid w:val="0080567F"/>
    <w:rsid w:val="00806F0C"/>
    <w:rsid w:val="00807F14"/>
    <w:rsid w:val="0081096D"/>
    <w:rsid w:val="00811D8C"/>
    <w:rsid w:val="00812FED"/>
    <w:rsid w:val="00813FBF"/>
    <w:rsid w:val="0081429F"/>
    <w:rsid w:val="008150E8"/>
    <w:rsid w:val="00815E48"/>
    <w:rsid w:val="008164C1"/>
    <w:rsid w:val="008168DF"/>
    <w:rsid w:val="00816A65"/>
    <w:rsid w:val="008172E6"/>
    <w:rsid w:val="00817BB2"/>
    <w:rsid w:val="00817D6A"/>
    <w:rsid w:val="0082006B"/>
    <w:rsid w:val="008206B2"/>
    <w:rsid w:val="00824CE0"/>
    <w:rsid w:val="00824E91"/>
    <w:rsid w:val="008258AE"/>
    <w:rsid w:val="00825FD8"/>
    <w:rsid w:val="00826412"/>
    <w:rsid w:val="00827617"/>
    <w:rsid w:val="008279B4"/>
    <w:rsid w:val="008300B8"/>
    <w:rsid w:val="00830AFD"/>
    <w:rsid w:val="00832FF4"/>
    <w:rsid w:val="008346A0"/>
    <w:rsid w:val="00834D85"/>
    <w:rsid w:val="00835515"/>
    <w:rsid w:val="00835C2F"/>
    <w:rsid w:val="008364A8"/>
    <w:rsid w:val="00836507"/>
    <w:rsid w:val="008379DA"/>
    <w:rsid w:val="0084067B"/>
    <w:rsid w:val="00840742"/>
    <w:rsid w:val="00841B68"/>
    <w:rsid w:val="008420BE"/>
    <w:rsid w:val="008453AF"/>
    <w:rsid w:val="00845721"/>
    <w:rsid w:val="0084605F"/>
    <w:rsid w:val="00846971"/>
    <w:rsid w:val="008469C9"/>
    <w:rsid w:val="00846AA4"/>
    <w:rsid w:val="00847BDA"/>
    <w:rsid w:val="0085056D"/>
    <w:rsid w:val="008527C6"/>
    <w:rsid w:val="00852B91"/>
    <w:rsid w:val="00852DD4"/>
    <w:rsid w:val="00853592"/>
    <w:rsid w:val="00853862"/>
    <w:rsid w:val="0085415E"/>
    <w:rsid w:val="0085637D"/>
    <w:rsid w:val="008565C7"/>
    <w:rsid w:val="008568BB"/>
    <w:rsid w:val="008576FF"/>
    <w:rsid w:val="00861E81"/>
    <w:rsid w:val="00863A18"/>
    <w:rsid w:val="00863CC1"/>
    <w:rsid w:val="008653EC"/>
    <w:rsid w:val="0086605E"/>
    <w:rsid w:val="008663CC"/>
    <w:rsid w:val="008664CD"/>
    <w:rsid w:val="00866D18"/>
    <w:rsid w:val="0087000C"/>
    <w:rsid w:val="00870452"/>
    <w:rsid w:val="00872528"/>
    <w:rsid w:val="008727E9"/>
    <w:rsid w:val="00872C14"/>
    <w:rsid w:val="008730D8"/>
    <w:rsid w:val="008731EA"/>
    <w:rsid w:val="00873B05"/>
    <w:rsid w:val="0087492C"/>
    <w:rsid w:val="00874D5E"/>
    <w:rsid w:val="00875CBC"/>
    <w:rsid w:val="00876138"/>
    <w:rsid w:val="008763C3"/>
    <w:rsid w:val="00877AF2"/>
    <w:rsid w:val="00880414"/>
    <w:rsid w:val="008811AD"/>
    <w:rsid w:val="00881AEA"/>
    <w:rsid w:val="00882998"/>
    <w:rsid w:val="00883227"/>
    <w:rsid w:val="00883456"/>
    <w:rsid w:val="008837C9"/>
    <w:rsid w:val="00884A73"/>
    <w:rsid w:val="00886ACA"/>
    <w:rsid w:val="00887C00"/>
    <w:rsid w:val="00891594"/>
    <w:rsid w:val="00891B71"/>
    <w:rsid w:val="00892884"/>
    <w:rsid w:val="00892B1E"/>
    <w:rsid w:val="00893200"/>
    <w:rsid w:val="00893558"/>
    <w:rsid w:val="00894F78"/>
    <w:rsid w:val="00895782"/>
    <w:rsid w:val="00896BF9"/>
    <w:rsid w:val="00896F85"/>
    <w:rsid w:val="00897F47"/>
    <w:rsid w:val="00897FFA"/>
    <w:rsid w:val="008A0880"/>
    <w:rsid w:val="008A0FAD"/>
    <w:rsid w:val="008A11F4"/>
    <w:rsid w:val="008A1B68"/>
    <w:rsid w:val="008A273C"/>
    <w:rsid w:val="008A39AE"/>
    <w:rsid w:val="008A4606"/>
    <w:rsid w:val="008A658F"/>
    <w:rsid w:val="008A7251"/>
    <w:rsid w:val="008A72F8"/>
    <w:rsid w:val="008B0C80"/>
    <w:rsid w:val="008B1097"/>
    <w:rsid w:val="008B1D7C"/>
    <w:rsid w:val="008B2309"/>
    <w:rsid w:val="008B345C"/>
    <w:rsid w:val="008B3C07"/>
    <w:rsid w:val="008B49FD"/>
    <w:rsid w:val="008B72DD"/>
    <w:rsid w:val="008B7E07"/>
    <w:rsid w:val="008C1120"/>
    <w:rsid w:val="008C2576"/>
    <w:rsid w:val="008C3303"/>
    <w:rsid w:val="008C3DE4"/>
    <w:rsid w:val="008C4500"/>
    <w:rsid w:val="008C5A97"/>
    <w:rsid w:val="008C5DFB"/>
    <w:rsid w:val="008C6B37"/>
    <w:rsid w:val="008C7372"/>
    <w:rsid w:val="008D0392"/>
    <w:rsid w:val="008D25D6"/>
    <w:rsid w:val="008D2E4A"/>
    <w:rsid w:val="008D3009"/>
    <w:rsid w:val="008D31C8"/>
    <w:rsid w:val="008D3523"/>
    <w:rsid w:val="008D4177"/>
    <w:rsid w:val="008D47C7"/>
    <w:rsid w:val="008D51E1"/>
    <w:rsid w:val="008D66A3"/>
    <w:rsid w:val="008D674B"/>
    <w:rsid w:val="008D6D6B"/>
    <w:rsid w:val="008D6E02"/>
    <w:rsid w:val="008D7E01"/>
    <w:rsid w:val="008E382D"/>
    <w:rsid w:val="008E4AAB"/>
    <w:rsid w:val="008E527D"/>
    <w:rsid w:val="008E5B92"/>
    <w:rsid w:val="008E5F21"/>
    <w:rsid w:val="008E7A69"/>
    <w:rsid w:val="008F0D63"/>
    <w:rsid w:val="008F196F"/>
    <w:rsid w:val="008F2B2E"/>
    <w:rsid w:val="008F5AE7"/>
    <w:rsid w:val="008F6E02"/>
    <w:rsid w:val="008F6FB3"/>
    <w:rsid w:val="008F76D5"/>
    <w:rsid w:val="00900976"/>
    <w:rsid w:val="00900FB2"/>
    <w:rsid w:val="009014E2"/>
    <w:rsid w:val="00902604"/>
    <w:rsid w:val="0090299F"/>
    <w:rsid w:val="00902AF2"/>
    <w:rsid w:val="009031D0"/>
    <w:rsid w:val="0090454A"/>
    <w:rsid w:val="00904CDA"/>
    <w:rsid w:val="009054CD"/>
    <w:rsid w:val="00905534"/>
    <w:rsid w:val="00906A5B"/>
    <w:rsid w:val="00906C04"/>
    <w:rsid w:val="00907B93"/>
    <w:rsid w:val="00907BF6"/>
    <w:rsid w:val="00911E83"/>
    <w:rsid w:val="009120B1"/>
    <w:rsid w:val="009125A5"/>
    <w:rsid w:val="00913562"/>
    <w:rsid w:val="0092119C"/>
    <w:rsid w:val="009229BC"/>
    <w:rsid w:val="00923B3C"/>
    <w:rsid w:val="009242CE"/>
    <w:rsid w:val="009246D9"/>
    <w:rsid w:val="00925ECF"/>
    <w:rsid w:val="00926A66"/>
    <w:rsid w:val="00927886"/>
    <w:rsid w:val="00927DF6"/>
    <w:rsid w:val="009306BE"/>
    <w:rsid w:val="00930D00"/>
    <w:rsid w:val="00931B07"/>
    <w:rsid w:val="00932065"/>
    <w:rsid w:val="009323B8"/>
    <w:rsid w:val="009325B2"/>
    <w:rsid w:val="00933B86"/>
    <w:rsid w:val="00933F86"/>
    <w:rsid w:val="0093429A"/>
    <w:rsid w:val="00935A19"/>
    <w:rsid w:val="00935C51"/>
    <w:rsid w:val="009367F2"/>
    <w:rsid w:val="0093698C"/>
    <w:rsid w:val="00937015"/>
    <w:rsid w:val="00937A58"/>
    <w:rsid w:val="00940072"/>
    <w:rsid w:val="00940FD8"/>
    <w:rsid w:val="00941B91"/>
    <w:rsid w:val="00941D32"/>
    <w:rsid w:val="00941EF4"/>
    <w:rsid w:val="009420D4"/>
    <w:rsid w:val="00943BD2"/>
    <w:rsid w:val="00944847"/>
    <w:rsid w:val="00946133"/>
    <w:rsid w:val="00946720"/>
    <w:rsid w:val="00946B6B"/>
    <w:rsid w:val="00946DAD"/>
    <w:rsid w:val="00947090"/>
    <w:rsid w:val="009477D8"/>
    <w:rsid w:val="00951423"/>
    <w:rsid w:val="0095158F"/>
    <w:rsid w:val="00951820"/>
    <w:rsid w:val="00952142"/>
    <w:rsid w:val="0095283A"/>
    <w:rsid w:val="0095287B"/>
    <w:rsid w:val="0095315D"/>
    <w:rsid w:val="0095452D"/>
    <w:rsid w:val="0095573A"/>
    <w:rsid w:val="009557E6"/>
    <w:rsid w:val="00955D81"/>
    <w:rsid w:val="00955EA4"/>
    <w:rsid w:val="00956634"/>
    <w:rsid w:val="00956EC8"/>
    <w:rsid w:val="00957B1B"/>
    <w:rsid w:val="0096203C"/>
    <w:rsid w:val="00962211"/>
    <w:rsid w:val="00963896"/>
    <w:rsid w:val="0096469A"/>
    <w:rsid w:val="00964976"/>
    <w:rsid w:val="00965FB1"/>
    <w:rsid w:val="00967238"/>
    <w:rsid w:val="009677BA"/>
    <w:rsid w:val="00971393"/>
    <w:rsid w:val="0097333E"/>
    <w:rsid w:val="0097522F"/>
    <w:rsid w:val="00982986"/>
    <w:rsid w:val="009836BF"/>
    <w:rsid w:val="0098432C"/>
    <w:rsid w:val="0098434C"/>
    <w:rsid w:val="00984B74"/>
    <w:rsid w:val="00985560"/>
    <w:rsid w:val="009855D9"/>
    <w:rsid w:val="00985794"/>
    <w:rsid w:val="00987792"/>
    <w:rsid w:val="00991330"/>
    <w:rsid w:val="00991EB9"/>
    <w:rsid w:val="00992882"/>
    <w:rsid w:val="00992C1C"/>
    <w:rsid w:val="0099340B"/>
    <w:rsid w:val="009935F5"/>
    <w:rsid w:val="00996AD0"/>
    <w:rsid w:val="00996AE4"/>
    <w:rsid w:val="009A0316"/>
    <w:rsid w:val="009A03D6"/>
    <w:rsid w:val="009A12F4"/>
    <w:rsid w:val="009A2C29"/>
    <w:rsid w:val="009A7642"/>
    <w:rsid w:val="009A7A47"/>
    <w:rsid w:val="009B0ECB"/>
    <w:rsid w:val="009B1A2B"/>
    <w:rsid w:val="009B1B7C"/>
    <w:rsid w:val="009B25EC"/>
    <w:rsid w:val="009B3068"/>
    <w:rsid w:val="009B3218"/>
    <w:rsid w:val="009B4899"/>
    <w:rsid w:val="009B6690"/>
    <w:rsid w:val="009B6719"/>
    <w:rsid w:val="009B712F"/>
    <w:rsid w:val="009B7775"/>
    <w:rsid w:val="009C0361"/>
    <w:rsid w:val="009C0C2B"/>
    <w:rsid w:val="009C1264"/>
    <w:rsid w:val="009C1B32"/>
    <w:rsid w:val="009C1C32"/>
    <w:rsid w:val="009C2420"/>
    <w:rsid w:val="009C2844"/>
    <w:rsid w:val="009C2FF2"/>
    <w:rsid w:val="009C369E"/>
    <w:rsid w:val="009C3F25"/>
    <w:rsid w:val="009C44E9"/>
    <w:rsid w:val="009C4908"/>
    <w:rsid w:val="009C4E26"/>
    <w:rsid w:val="009C6565"/>
    <w:rsid w:val="009C6B56"/>
    <w:rsid w:val="009C714B"/>
    <w:rsid w:val="009C736A"/>
    <w:rsid w:val="009D0CD1"/>
    <w:rsid w:val="009D2082"/>
    <w:rsid w:val="009D2E07"/>
    <w:rsid w:val="009D32B9"/>
    <w:rsid w:val="009D4FD0"/>
    <w:rsid w:val="009D78F3"/>
    <w:rsid w:val="009D7B94"/>
    <w:rsid w:val="009D7D3B"/>
    <w:rsid w:val="009E1C28"/>
    <w:rsid w:val="009E21AC"/>
    <w:rsid w:val="009E2F80"/>
    <w:rsid w:val="009E3EDD"/>
    <w:rsid w:val="009E42E3"/>
    <w:rsid w:val="009E484D"/>
    <w:rsid w:val="009E5E25"/>
    <w:rsid w:val="009F080E"/>
    <w:rsid w:val="009F1E9F"/>
    <w:rsid w:val="009F2BCF"/>
    <w:rsid w:val="009F31DF"/>
    <w:rsid w:val="009F38A1"/>
    <w:rsid w:val="009F3DD7"/>
    <w:rsid w:val="009F3DF7"/>
    <w:rsid w:val="009F4E17"/>
    <w:rsid w:val="009F53BB"/>
    <w:rsid w:val="009F609F"/>
    <w:rsid w:val="009F74E3"/>
    <w:rsid w:val="009F7922"/>
    <w:rsid w:val="009F7D94"/>
    <w:rsid w:val="00A000F6"/>
    <w:rsid w:val="00A0017B"/>
    <w:rsid w:val="00A0032E"/>
    <w:rsid w:val="00A004E0"/>
    <w:rsid w:val="00A00C27"/>
    <w:rsid w:val="00A00D18"/>
    <w:rsid w:val="00A02D61"/>
    <w:rsid w:val="00A03585"/>
    <w:rsid w:val="00A040B7"/>
    <w:rsid w:val="00A04C9E"/>
    <w:rsid w:val="00A04D5A"/>
    <w:rsid w:val="00A04F86"/>
    <w:rsid w:val="00A10579"/>
    <w:rsid w:val="00A10FB7"/>
    <w:rsid w:val="00A14CFE"/>
    <w:rsid w:val="00A15A12"/>
    <w:rsid w:val="00A1652B"/>
    <w:rsid w:val="00A16DE2"/>
    <w:rsid w:val="00A2064A"/>
    <w:rsid w:val="00A207B6"/>
    <w:rsid w:val="00A22614"/>
    <w:rsid w:val="00A227E0"/>
    <w:rsid w:val="00A2290A"/>
    <w:rsid w:val="00A25D17"/>
    <w:rsid w:val="00A26E41"/>
    <w:rsid w:val="00A27877"/>
    <w:rsid w:val="00A3092B"/>
    <w:rsid w:val="00A328F8"/>
    <w:rsid w:val="00A33243"/>
    <w:rsid w:val="00A33676"/>
    <w:rsid w:val="00A33D78"/>
    <w:rsid w:val="00A341B9"/>
    <w:rsid w:val="00A3425A"/>
    <w:rsid w:val="00A35BE5"/>
    <w:rsid w:val="00A3651C"/>
    <w:rsid w:val="00A374A2"/>
    <w:rsid w:val="00A41749"/>
    <w:rsid w:val="00A449CC"/>
    <w:rsid w:val="00A45FB3"/>
    <w:rsid w:val="00A46018"/>
    <w:rsid w:val="00A461CC"/>
    <w:rsid w:val="00A46328"/>
    <w:rsid w:val="00A469D2"/>
    <w:rsid w:val="00A46A32"/>
    <w:rsid w:val="00A472AA"/>
    <w:rsid w:val="00A47704"/>
    <w:rsid w:val="00A47EF5"/>
    <w:rsid w:val="00A5175C"/>
    <w:rsid w:val="00A55E43"/>
    <w:rsid w:val="00A55E94"/>
    <w:rsid w:val="00A56717"/>
    <w:rsid w:val="00A5738D"/>
    <w:rsid w:val="00A60F20"/>
    <w:rsid w:val="00A61C6E"/>
    <w:rsid w:val="00A626C6"/>
    <w:rsid w:val="00A629F1"/>
    <w:rsid w:val="00A62EAF"/>
    <w:rsid w:val="00A661B0"/>
    <w:rsid w:val="00A6791E"/>
    <w:rsid w:val="00A72471"/>
    <w:rsid w:val="00A72E3F"/>
    <w:rsid w:val="00A736D2"/>
    <w:rsid w:val="00A75107"/>
    <w:rsid w:val="00A7541D"/>
    <w:rsid w:val="00A766F4"/>
    <w:rsid w:val="00A770CC"/>
    <w:rsid w:val="00A805A0"/>
    <w:rsid w:val="00A81D1E"/>
    <w:rsid w:val="00A82CD5"/>
    <w:rsid w:val="00A83783"/>
    <w:rsid w:val="00A837BA"/>
    <w:rsid w:val="00A859D2"/>
    <w:rsid w:val="00A86E55"/>
    <w:rsid w:val="00A8744D"/>
    <w:rsid w:val="00A907C3"/>
    <w:rsid w:val="00A90A19"/>
    <w:rsid w:val="00A91761"/>
    <w:rsid w:val="00A9263A"/>
    <w:rsid w:val="00A944A9"/>
    <w:rsid w:val="00A94AD7"/>
    <w:rsid w:val="00A953A9"/>
    <w:rsid w:val="00A95421"/>
    <w:rsid w:val="00A9575B"/>
    <w:rsid w:val="00A96862"/>
    <w:rsid w:val="00A97713"/>
    <w:rsid w:val="00AA16A6"/>
    <w:rsid w:val="00AA3872"/>
    <w:rsid w:val="00AA3DF3"/>
    <w:rsid w:val="00AA4FB5"/>
    <w:rsid w:val="00AA5BF1"/>
    <w:rsid w:val="00AA6549"/>
    <w:rsid w:val="00AA7552"/>
    <w:rsid w:val="00AB0E02"/>
    <w:rsid w:val="00AB1005"/>
    <w:rsid w:val="00AB1406"/>
    <w:rsid w:val="00AB24CB"/>
    <w:rsid w:val="00AB2A5C"/>
    <w:rsid w:val="00AB2B45"/>
    <w:rsid w:val="00AB3361"/>
    <w:rsid w:val="00AB3669"/>
    <w:rsid w:val="00AB38E8"/>
    <w:rsid w:val="00AB4147"/>
    <w:rsid w:val="00AB5004"/>
    <w:rsid w:val="00AB5075"/>
    <w:rsid w:val="00AB5680"/>
    <w:rsid w:val="00AB60A7"/>
    <w:rsid w:val="00AB6FD9"/>
    <w:rsid w:val="00AC045E"/>
    <w:rsid w:val="00AC105A"/>
    <w:rsid w:val="00AC1ADC"/>
    <w:rsid w:val="00AC1D95"/>
    <w:rsid w:val="00AC3DAD"/>
    <w:rsid w:val="00AC4D06"/>
    <w:rsid w:val="00AC5868"/>
    <w:rsid w:val="00AC6470"/>
    <w:rsid w:val="00AC76BB"/>
    <w:rsid w:val="00AC7861"/>
    <w:rsid w:val="00AC7A05"/>
    <w:rsid w:val="00AD0577"/>
    <w:rsid w:val="00AD0A71"/>
    <w:rsid w:val="00AD19B7"/>
    <w:rsid w:val="00AD1B16"/>
    <w:rsid w:val="00AD2041"/>
    <w:rsid w:val="00AD2389"/>
    <w:rsid w:val="00AD2DD0"/>
    <w:rsid w:val="00AD2F7F"/>
    <w:rsid w:val="00AD3F15"/>
    <w:rsid w:val="00AD49E3"/>
    <w:rsid w:val="00AD4D7F"/>
    <w:rsid w:val="00AD4F5D"/>
    <w:rsid w:val="00AD53F6"/>
    <w:rsid w:val="00AD5759"/>
    <w:rsid w:val="00AD5C2A"/>
    <w:rsid w:val="00AD64B7"/>
    <w:rsid w:val="00AD6A03"/>
    <w:rsid w:val="00AE0ADD"/>
    <w:rsid w:val="00AE1665"/>
    <w:rsid w:val="00AE241E"/>
    <w:rsid w:val="00AE3709"/>
    <w:rsid w:val="00AE39B7"/>
    <w:rsid w:val="00AE3E0C"/>
    <w:rsid w:val="00AE4FD3"/>
    <w:rsid w:val="00AE731E"/>
    <w:rsid w:val="00AE74D3"/>
    <w:rsid w:val="00AE7FBB"/>
    <w:rsid w:val="00AF1159"/>
    <w:rsid w:val="00AF301C"/>
    <w:rsid w:val="00AF3108"/>
    <w:rsid w:val="00AF384F"/>
    <w:rsid w:val="00AF3F52"/>
    <w:rsid w:val="00AF4394"/>
    <w:rsid w:val="00AF5631"/>
    <w:rsid w:val="00AF64D9"/>
    <w:rsid w:val="00B01C83"/>
    <w:rsid w:val="00B034C1"/>
    <w:rsid w:val="00B03709"/>
    <w:rsid w:val="00B03989"/>
    <w:rsid w:val="00B046BA"/>
    <w:rsid w:val="00B05F2E"/>
    <w:rsid w:val="00B069F0"/>
    <w:rsid w:val="00B06A78"/>
    <w:rsid w:val="00B0710A"/>
    <w:rsid w:val="00B07DEE"/>
    <w:rsid w:val="00B10273"/>
    <w:rsid w:val="00B107F2"/>
    <w:rsid w:val="00B11345"/>
    <w:rsid w:val="00B11E52"/>
    <w:rsid w:val="00B11EA2"/>
    <w:rsid w:val="00B12213"/>
    <w:rsid w:val="00B12E74"/>
    <w:rsid w:val="00B12F5A"/>
    <w:rsid w:val="00B13600"/>
    <w:rsid w:val="00B140A6"/>
    <w:rsid w:val="00B16335"/>
    <w:rsid w:val="00B1725D"/>
    <w:rsid w:val="00B176C5"/>
    <w:rsid w:val="00B2086B"/>
    <w:rsid w:val="00B20BD3"/>
    <w:rsid w:val="00B20E1D"/>
    <w:rsid w:val="00B21A00"/>
    <w:rsid w:val="00B2231A"/>
    <w:rsid w:val="00B22681"/>
    <w:rsid w:val="00B226EB"/>
    <w:rsid w:val="00B22CFA"/>
    <w:rsid w:val="00B22D3F"/>
    <w:rsid w:val="00B235C9"/>
    <w:rsid w:val="00B23FA0"/>
    <w:rsid w:val="00B244A7"/>
    <w:rsid w:val="00B24789"/>
    <w:rsid w:val="00B24DAB"/>
    <w:rsid w:val="00B25595"/>
    <w:rsid w:val="00B26453"/>
    <w:rsid w:val="00B26B1C"/>
    <w:rsid w:val="00B279E0"/>
    <w:rsid w:val="00B27D48"/>
    <w:rsid w:val="00B327F7"/>
    <w:rsid w:val="00B32B2B"/>
    <w:rsid w:val="00B339F8"/>
    <w:rsid w:val="00B33AE8"/>
    <w:rsid w:val="00B33C11"/>
    <w:rsid w:val="00B36C02"/>
    <w:rsid w:val="00B37221"/>
    <w:rsid w:val="00B37307"/>
    <w:rsid w:val="00B40C36"/>
    <w:rsid w:val="00B43127"/>
    <w:rsid w:val="00B45B71"/>
    <w:rsid w:val="00B46283"/>
    <w:rsid w:val="00B47DBD"/>
    <w:rsid w:val="00B47F30"/>
    <w:rsid w:val="00B50A9F"/>
    <w:rsid w:val="00B50AEF"/>
    <w:rsid w:val="00B51399"/>
    <w:rsid w:val="00B532F9"/>
    <w:rsid w:val="00B53A5D"/>
    <w:rsid w:val="00B53D90"/>
    <w:rsid w:val="00B5417B"/>
    <w:rsid w:val="00B548F0"/>
    <w:rsid w:val="00B56A86"/>
    <w:rsid w:val="00B60E5D"/>
    <w:rsid w:val="00B60EFC"/>
    <w:rsid w:val="00B614E6"/>
    <w:rsid w:val="00B62978"/>
    <w:rsid w:val="00B62D17"/>
    <w:rsid w:val="00B62DF8"/>
    <w:rsid w:val="00B64BEE"/>
    <w:rsid w:val="00B64D82"/>
    <w:rsid w:val="00B66265"/>
    <w:rsid w:val="00B668D3"/>
    <w:rsid w:val="00B669B7"/>
    <w:rsid w:val="00B70B2A"/>
    <w:rsid w:val="00B70BFF"/>
    <w:rsid w:val="00B70CBC"/>
    <w:rsid w:val="00B72B4F"/>
    <w:rsid w:val="00B7321C"/>
    <w:rsid w:val="00B74E20"/>
    <w:rsid w:val="00B7565F"/>
    <w:rsid w:val="00B7693B"/>
    <w:rsid w:val="00B7719F"/>
    <w:rsid w:val="00B8029E"/>
    <w:rsid w:val="00B8097E"/>
    <w:rsid w:val="00B81943"/>
    <w:rsid w:val="00B825E9"/>
    <w:rsid w:val="00B82CC9"/>
    <w:rsid w:val="00B83285"/>
    <w:rsid w:val="00B861C8"/>
    <w:rsid w:val="00B86A9F"/>
    <w:rsid w:val="00B86C41"/>
    <w:rsid w:val="00B9024F"/>
    <w:rsid w:val="00B90948"/>
    <w:rsid w:val="00B90BB4"/>
    <w:rsid w:val="00B90F73"/>
    <w:rsid w:val="00B92B11"/>
    <w:rsid w:val="00B934F1"/>
    <w:rsid w:val="00B9395F"/>
    <w:rsid w:val="00B94202"/>
    <w:rsid w:val="00B94679"/>
    <w:rsid w:val="00B9532F"/>
    <w:rsid w:val="00B953CC"/>
    <w:rsid w:val="00B95D13"/>
    <w:rsid w:val="00BA047E"/>
    <w:rsid w:val="00BA155B"/>
    <w:rsid w:val="00BA28F5"/>
    <w:rsid w:val="00BA2C94"/>
    <w:rsid w:val="00BA3228"/>
    <w:rsid w:val="00BA425A"/>
    <w:rsid w:val="00BA4468"/>
    <w:rsid w:val="00BA46DE"/>
    <w:rsid w:val="00BA5F25"/>
    <w:rsid w:val="00BA7834"/>
    <w:rsid w:val="00BA7AAB"/>
    <w:rsid w:val="00BB0702"/>
    <w:rsid w:val="00BB0DAC"/>
    <w:rsid w:val="00BB0F67"/>
    <w:rsid w:val="00BB224A"/>
    <w:rsid w:val="00BB2573"/>
    <w:rsid w:val="00BB4705"/>
    <w:rsid w:val="00BB5B65"/>
    <w:rsid w:val="00BB5DC3"/>
    <w:rsid w:val="00BB6DB9"/>
    <w:rsid w:val="00BB710A"/>
    <w:rsid w:val="00BB76BE"/>
    <w:rsid w:val="00BC0144"/>
    <w:rsid w:val="00BC065B"/>
    <w:rsid w:val="00BC0F2C"/>
    <w:rsid w:val="00BC1186"/>
    <w:rsid w:val="00BC16D9"/>
    <w:rsid w:val="00BC3CB4"/>
    <w:rsid w:val="00BC522A"/>
    <w:rsid w:val="00BC6ADB"/>
    <w:rsid w:val="00BD0C5C"/>
    <w:rsid w:val="00BD1D40"/>
    <w:rsid w:val="00BD31C1"/>
    <w:rsid w:val="00BD4DE3"/>
    <w:rsid w:val="00BD544A"/>
    <w:rsid w:val="00BD5463"/>
    <w:rsid w:val="00BD5907"/>
    <w:rsid w:val="00BD5E87"/>
    <w:rsid w:val="00BD6320"/>
    <w:rsid w:val="00BD6915"/>
    <w:rsid w:val="00BE0821"/>
    <w:rsid w:val="00BE1D1B"/>
    <w:rsid w:val="00BE26D4"/>
    <w:rsid w:val="00BE2EC2"/>
    <w:rsid w:val="00BE319A"/>
    <w:rsid w:val="00BE3BCD"/>
    <w:rsid w:val="00BE3C42"/>
    <w:rsid w:val="00BE3FB7"/>
    <w:rsid w:val="00BE4D59"/>
    <w:rsid w:val="00BE5AD5"/>
    <w:rsid w:val="00BE6AAB"/>
    <w:rsid w:val="00BE7393"/>
    <w:rsid w:val="00BE74A0"/>
    <w:rsid w:val="00BE76D7"/>
    <w:rsid w:val="00BE7FA4"/>
    <w:rsid w:val="00BF050C"/>
    <w:rsid w:val="00BF08F0"/>
    <w:rsid w:val="00BF18F5"/>
    <w:rsid w:val="00BF253D"/>
    <w:rsid w:val="00BF2E0B"/>
    <w:rsid w:val="00BF357A"/>
    <w:rsid w:val="00BF3C15"/>
    <w:rsid w:val="00BF3CC2"/>
    <w:rsid w:val="00BF5021"/>
    <w:rsid w:val="00BF552F"/>
    <w:rsid w:val="00BF56FF"/>
    <w:rsid w:val="00BF5C4A"/>
    <w:rsid w:val="00BF6080"/>
    <w:rsid w:val="00BF64B5"/>
    <w:rsid w:val="00BF6869"/>
    <w:rsid w:val="00BF6875"/>
    <w:rsid w:val="00BF6B98"/>
    <w:rsid w:val="00BF74B2"/>
    <w:rsid w:val="00C00F88"/>
    <w:rsid w:val="00C01605"/>
    <w:rsid w:val="00C01C7A"/>
    <w:rsid w:val="00C0325E"/>
    <w:rsid w:val="00C0364F"/>
    <w:rsid w:val="00C03650"/>
    <w:rsid w:val="00C04A98"/>
    <w:rsid w:val="00C07528"/>
    <w:rsid w:val="00C10EB5"/>
    <w:rsid w:val="00C11034"/>
    <w:rsid w:val="00C128B6"/>
    <w:rsid w:val="00C139BD"/>
    <w:rsid w:val="00C14AD0"/>
    <w:rsid w:val="00C14DF6"/>
    <w:rsid w:val="00C15041"/>
    <w:rsid w:val="00C17C5F"/>
    <w:rsid w:val="00C20AB5"/>
    <w:rsid w:val="00C225DD"/>
    <w:rsid w:val="00C2275E"/>
    <w:rsid w:val="00C24527"/>
    <w:rsid w:val="00C24D6B"/>
    <w:rsid w:val="00C275F3"/>
    <w:rsid w:val="00C27735"/>
    <w:rsid w:val="00C32053"/>
    <w:rsid w:val="00C32D01"/>
    <w:rsid w:val="00C3302A"/>
    <w:rsid w:val="00C3315F"/>
    <w:rsid w:val="00C33531"/>
    <w:rsid w:val="00C34905"/>
    <w:rsid w:val="00C3531A"/>
    <w:rsid w:val="00C3541C"/>
    <w:rsid w:val="00C35F03"/>
    <w:rsid w:val="00C36EAE"/>
    <w:rsid w:val="00C37482"/>
    <w:rsid w:val="00C42135"/>
    <w:rsid w:val="00C4218D"/>
    <w:rsid w:val="00C429F7"/>
    <w:rsid w:val="00C4448D"/>
    <w:rsid w:val="00C4747C"/>
    <w:rsid w:val="00C5093E"/>
    <w:rsid w:val="00C51672"/>
    <w:rsid w:val="00C54218"/>
    <w:rsid w:val="00C55211"/>
    <w:rsid w:val="00C55B84"/>
    <w:rsid w:val="00C55EBF"/>
    <w:rsid w:val="00C57A69"/>
    <w:rsid w:val="00C60214"/>
    <w:rsid w:val="00C6037B"/>
    <w:rsid w:val="00C605BB"/>
    <w:rsid w:val="00C62C4A"/>
    <w:rsid w:val="00C63039"/>
    <w:rsid w:val="00C634C3"/>
    <w:rsid w:val="00C63D32"/>
    <w:rsid w:val="00C647D0"/>
    <w:rsid w:val="00C70046"/>
    <w:rsid w:val="00C70238"/>
    <w:rsid w:val="00C7072E"/>
    <w:rsid w:val="00C73220"/>
    <w:rsid w:val="00C739D2"/>
    <w:rsid w:val="00C74EF5"/>
    <w:rsid w:val="00C751D0"/>
    <w:rsid w:val="00C7586C"/>
    <w:rsid w:val="00C76FE5"/>
    <w:rsid w:val="00C779F0"/>
    <w:rsid w:val="00C77C20"/>
    <w:rsid w:val="00C801B2"/>
    <w:rsid w:val="00C8039C"/>
    <w:rsid w:val="00C809BF"/>
    <w:rsid w:val="00C8243C"/>
    <w:rsid w:val="00C83DF8"/>
    <w:rsid w:val="00C83E2C"/>
    <w:rsid w:val="00C867FB"/>
    <w:rsid w:val="00C86A3C"/>
    <w:rsid w:val="00C86A72"/>
    <w:rsid w:val="00C87600"/>
    <w:rsid w:val="00C87FC5"/>
    <w:rsid w:val="00C9058F"/>
    <w:rsid w:val="00C9090F"/>
    <w:rsid w:val="00C90E75"/>
    <w:rsid w:val="00C91963"/>
    <w:rsid w:val="00C9285E"/>
    <w:rsid w:val="00C92DBC"/>
    <w:rsid w:val="00C96400"/>
    <w:rsid w:val="00C96804"/>
    <w:rsid w:val="00C96A21"/>
    <w:rsid w:val="00CA0072"/>
    <w:rsid w:val="00CA05A4"/>
    <w:rsid w:val="00CA0E72"/>
    <w:rsid w:val="00CA2259"/>
    <w:rsid w:val="00CA3434"/>
    <w:rsid w:val="00CA349E"/>
    <w:rsid w:val="00CA3B2D"/>
    <w:rsid w:val="00CA4144"/>
    <w:rsid w:val="00CA63CC"/>
    <w:rsid w:val="00CA655B"/>
    <w:rsid w:val="00CA6904"/>
    <w:rsid w:val="00CA7741"/>
    <w:rsid w:val="00CB027B"/>
    <w:rsid w:val="00CB05D3"/>
    <w:rsid w:val="00CB10A6"/>
    <w:rsid w:val="00CB1C78"/>
    <w:rsid w:val="00CB42B8"/>
    <w:rsid w:val="00CB4B34"/>
    <w:rsid w:val="00CB5121"/>
    <w:rsid w:val="00CB6CB9"/>
    <w:rsid w:val="00CC010D"/>
    <w:rsid w:val="00CC0128"/>
    <w:rsid w:val="00CC2BC6"/>
    <w:rsid w:val="00CC3DD6"/>
    <w:rsid w:val="00CC4248"/>
    <w:rsid w:val="00CC47FA"/>
    <w:rsid w:val="00CC6BA3"/>
    <w:rsid w:val="00CD04DF"/>
    <w:rsid w:val="00CD158F"/>
    <w:rsid w:val="00CD1BCC"/>
    <w:rsid w:val="00CD2D20"/>
    <w:rsid w:val="00CD36BF"/>
    <w:rsid w:val="00CD3F39"/>
    <w:rsid w:val="00CD56FB"/>
    <w:rsid w:val="00CD6B0B"/>
    <w:rsid w:val="00CD7BF7"/>
    <w:rsid w:val="00CE022C"/>
    <w:rsid w:val="00CE1061"/>
    <w:rsid w:val="00CE18D3"/>
    <w:rsid w:val="00CE36CE"/>
    <w:rsid w:val="00CE6D4F"/>
    <w:rsid w:val="00CE789A"/>
    <w:rsid w:val="00CE7AEB"/>
    <w:rsid w:val="00CF0B8F"/>
    <w:rsid w:val="00CF0D90"/>
    <w:rsid w:val="00CF133D"/>
    <w:rsid w:val="00CF3D86"/>
    <w:rsid w:val="00CF48E5"/>
    <w:rsid w:val="00CF4981"/>
    <w:rsid w:val="00CF4B64"/>
    <w:rsid w:val="00CF55A4"/>
    <w:rsid w:val="00CF56D8"/>
    <w:rsid w:val="00D001BB"/>
    <w:rsid w:val="00D011BB"/>
    <w:rsid w:val="00D013AE"/>
    <w:rsid w:val="00D0191B"/>
    <w:rsid w:val="00D029EB"/>
    <w:rsid w:val="00D02A8B"/>
    <w:rsid w:val="00D0367C"/>
    <w:rsid w:val="00D03A30"/>
    <w:rsid w:val="00D0448C"/>
    <w:rsid w:val="00D0474C"/>
    <w:rsid w:val="00D04A82"/>
    <w:rsid w:val="00D051B1"/>
    <w:rsid w:val="00D05989"/>
    <w:rsid w:val="00D05F3C"/>
    <w:rsid w:val="00D06242"/>
    <w:rsid w:val="00D108EE"/>
    <w:rsid w:val="00D111D5"/>
    <w:rsid w:val="00D11B9F"/>
    <w:rsid w:val="00D1273E"/>
    <w:rsid w:val="00D1282B"/>
    <w:rsid w:val="00D12D05"/>
    <w:rsid w:val="00D12F7F"/>
    <w:rsid w:val="00D13131"/>
    <w:rsid w:val="00D13736"/>
    <w:rsid w:val="00D14EA4"/>
    <w:rsid w:val="00D216C0"/>
    <w:rsid w:val="00D222EC"/>
    <w:rsid w:val="00D23A4B"/>
    <w:rsid w:val="00D2493B"/>
    <w:rsid w:val="00D259BD"/>
    <w:rsid w:val="00D26B42"/>
    <w:rsid w:val="00D27151"/>
    <w:rsid w:val="00D30790"/>
    <w:rsid w:val="00D3170D"/>
    <w:rsid w:val="00D3454A"/>
    <w:rsid w:val="00D36D79"/>
    <w:rsid w:val="00D37DBF"/>
    <w:rsid w:val="00D40484"/>
    <w:rsid w:val="00D4096F"/>
    <w:rsid w:val="00D42803"/>
    <w:rsid w:val="00D42931"/>
    <w:rsid w:val="00D42EDF"/>
    <w:rsid w:val="00D437E5"/>
    <w:rsid w:val="00D45D11"/>
    <w:rsid w:val="00D46179"/>
    <w:rsid w:val="00D46CE3"/>
    <w:rsid w:val="00D4768B"/>
    <w:rsid w:val="00D50652"/>
    <w:rsid w:val="00D50A2D"/>
    <w:rsid w:val="00D51667"/>
    <w:rsid w:val="00D523EB"/>
    <w:rsid w:val="00D5243A"/>
    <w:rsid w:val="00D5324E"/>
    <w:rsid w:val="00D53D4C"/>
    <w:rsid w:val="00D5614C"/>
    <w:rsid w:val="00D574C4"/>
    <w:rsid w:val="00D60776"/>
    <w:rsid w:val="00D60BFE"/>
    <w:rsid w:val="00D60CB1"/>
    <w:rsid w:val="00D61436"/>
    <w:rsid w:val="00D61960"/>
    <w:rsid w:val="00D619C1"/>
    <w:rsid w:val="00D62DA6"/>
    <w:rsid w:val="00D63D5A"/>
    <w:rsid w:val="00D64D44"/>
    <w:rsid w:val="00D67A2A"/>
    <w:rsid w:val="00D70785"/>
    <w:rsid w:val="00D70B10"/>
    <w:rsid w:val="00D71C81"/>
    <w:rsid w:val="00D71D2B"/>
    <w:rsid w:val="00D72046"/>
    <w:rsid w:val="00D731D1"/>
    <w:rsid w:val="00D74412"/>
    <w:rsid w:val="00D755C2"/>
    <w:rsid w:val="00D75B9C"/>
    <w:rsid w:val="00D7669A"/>
    <w:rsid w:val="00D76975"/>
    <w:rsid w:val="00D771EB"/>
    <w:rsid w:val="00D7799C"/>
    <w:rsid w:val="00D8314B"/>
    <w:rsid w:val="00D832BF"/>
    <w:rsid w:val="00D83491"/>
    <w:rsid w:val="00D83525"/>
    <w:rsid w:val="00D854DC"/>
    <w:rsid w:val="00D85FEA"/>
    <w:rsid w:val="00D87F91"/>
    <w:rsid w:val="00D90311"/>
    <w:rsid w:val="00D9166A"/>
    <w:rsid w:val="00D918E0"/>
    <w:rsid w:val="00D91EA8"/>
    <w:rsid w:val="00D92077"/>
    <w:rsid w:val="00D92B72"/>
    <w:rsid w:val="00D9366C"/>
    <w:rsid w:val="00D9475D"/>
    <w:rsid w:val="00D94ECA"/>
    <w:rsid w:val="00D95049"/>
    <w:rsid w:val="00D960C5"/>
    <w:rsid w:val="00D96BCF"/>
    <w:rsid w:val="00DA059E"/>
    <w:rsid w:val="00DA0710"/>
    <w:rsid w:val="00DA1C18"/>
    <w:rsid w:val="00DA2729"/>
    <w:rsid w:val="00DA2784"/>
    <w:rsid w:val="00DB0BBA"/>
    <w:rsid w:val="00DB1217"/>
    <w:rsid w:val="00DB14AD"/>
    <w:rsid w:val="00DB3156"/>
    <w:rsid w:val="00DB31DB"/>
    <w:rsid w:val="00DB3DB1"/>
    <w:rsid w:val="00DB481E"/>
    <w:rsid w:val="00DB4F81"/>
    <w:rsid w:val="00DB511E"/>
    <w:rsid w:val="00DB6B2D"/>
    <w:rsid w:val="00DB6BF6"/>
    <w:rsid w:val="00DB73BB"/>
    <w:rsid w:val="00DC1D22"/>
    <w:rsid w:val="00DC24B5"/>
    <w:rsid w:val="00DC3653"/>
    <w:rsid w:val="00DC3A54"/>
    <w:rsid w:val="00DC481B"/>
    <w:rsid w:val="00DC572C"/>
    <w:rsid w:val="00DC6DEF"/>
    <w:rsid w:val="00DC7D6A"/>
    <w:rsid w:val="00DC7E5E"/>
    <w:rsid w:val="00DD0014"/>
    <w:rsid w:val="00DD037B"/>
    <w:rsid w:val="00DD08C0"/>
    <w:rsid w:val="00DD08C7"/>
    <w:rsid w:val="00DD24E8"/>
    <w:rsid w:val="00DD402A"/>
    <w:rsid w:val="00DD4269"/>
    <w:rsid w:val="00DD483B"/>
    <w:rsid w:val="00DD5BCD"/>
    <w:rsid w:val="00DD5E91"/>
    <w:rsid w:val="00DE009A"/>
    <w:rsid w:val="00DE0C5C"/>
    <w:rsid w:val="00DE0E18"/>
    <w:rsid w:val="00DE0FD9"/>
    <w:rsid w:val="00DE17C2"/>
    <w:rsid w:val="00DE2013"/>
    <w:rsid w:val="00DE2B63"/>
    <w:rsid w:val="00DE2DC8"/>
    <w:rsid w:val="00DE406B"/>
    <w:rsid w:val="00DE4A51"/>
    <w:rsid w:val="00DE50AF"/>
    <w:rsid w:val="00DE60A6"/>
    <w:rsid w:val="00DE685E"/>
    <w:rsid w:val="00DE75A4"/>
    <w:rsid w:val="00DE7D28"/>
    <w:rsid w:val="00DF0F58"/>
    <w:rsid w:val="00DF0FDC"/>
    <w:rsid w:val="00DF1F29"/>
    <w:rsid w:val="00DF4BBF"/>
    <w:rsid w:val="00DF51CA"/>
    <w:rsid w:val="00DF5B5C"/>
    <w:rsid w:val="00DF5C4A"/>
    <w:rsid w:val="00E00BC8"/>
    <w:rsid w:val="00E02070"/>
    <w:rsid w:val="00E02B28"/>
    <w:rsid w:val="00E039C0"/>
    <w:rsid w:val="00E0740A"/>
    <w:rsid w:val="00E10265"/>
    <w:rsid w:val="00E10453"/>
    <w:rsid w:val="00E10470"/>
    <w:rsid w:val="00E104DE"/>
    <w:rsid w:val="00E10863"/>
    <w:rsid w:val="00E11446"/>
    <w:rsid w:val="00E11B50"/>
    <w:rsid w:val="00E12A89"/>
    <w:rsid w:val="00E1371E"/>
    <w:rsid w:val="00E14330"/>
    <w:rsid w:val="00E15815"/>
    <w:rsid w:val="00E17473"/>
    <w:rsid w:val="00E211AA"/>
    <w:rsid w:val="00E22280"/>
    <w:rsid w:val="00E22388"/>
    <w:rsid w:val="00E22391"/>
    <w:rsid w:val="00E22738"/>
    <w:rsid w:val="00E23015"/>
    <w:rsid w:val="00E248A0"/>
    <w:rsid w:val="00E25162"/>
    <w:rsid w:val="00E252C2"/>
    <w:rsid w:val="00E272FD"/>
    <w:rsid w:val="00E276E5"/>
    <w:rsid w:val="00E27827"/>
    <w:rsid w:val="00E278EA"/>
    <w:rsid w:val="00E31C21"/>
    <w:rsid w:val="00E32629"/>
    <w:rsid w:val="00E32EC2"/>
    <w:rsid w:val="00E33300"/>
    <w:rsid w:val="00E33DC7"/>
    <w:rsid w:val="00E34527"/>
    <w:rsid w:val="00E345C2"/>
    <w:rsid w:val="00E34724"/>
    <w:rsid w:val="00E348BC"/>
    <w:rsid w:val="00E34A42"/>
    <w:rsid w:val="00E35687"/>
    <w:rsid w:val="00E35ADB"/>
    <w:rsid w:val="00E40A9D"/>
    <w:rsid w:val="00E40AC4"/>
    <w:rsid w:val="00E40B8C"/>
    <w:rsid w:val="00E415E3"/>
    <w:rsid w:val="00E4165E"/>
    <w:rsid w:val="00E41C16"/>
    <w:rsid w:val="00E41CD0"/>
    <w:rsid w:val="00E457A7"/>
    <w:rsid w:val="00E45C16"/>
    <w:rsid w:val="00E46140"/>
    <w:rsid w:val="00E4733D"/>
    <w:rsid w:val="00E47BF8"/>
    <w:rsid w:val="00E500A0"/>
    <w:rsid w:val="00E5078F"/>
    <w:rsid w:val="00E52DED"/>
    <w:rsid w:val="00E52E62"/>
    <w:rsid w:val="00E531BD"/>
    <w:rsid w:val="00E55D80"/>
    <w:rsid w:val="00E55E13"/>
    <w:rsid w:val="00E55EF9"/>
    <w:rsid w:val="00E5682D"/>
    <w:rsid w:val="00E57048"/>
    <w:rsid w:val="00E6172F"/>
    <w:rsid w:val="00E61B65"/>
    <w:rsid w:val="00E62002"/>
    <w:rsid w:val="00E620DF"/>
    <w:rsid w:val="00E62EB4"/>
    <w:rsid w:val="00E64B49"/>
    <w:rsid w:val="00E65BB9"/>
    <w:rsid w:val="00E660D2"/>
    <w:rsid w:val="00E6649F"/>
    <w:rsid w:val="00E670DB"/>
    <w:rsid w:val="00E67804"/>
    <w:rsid w:val="00E70D65"/>
    <w:rsid w:val="00E71C72"/>
    <w:rsid w:val="00E72737"/>
    <w:rsid w:val="00E733C7"/>
    <w:rsid w:val="00E7354E"/>
    <w:rsid w:val="00E75CE4"/>
    <w:rsid w:val="00E81F86"/>
    <w:rsid w:val="00E8346F"/>
    <w:rsid w:val="00E83A95"/>
    <w:rsid w:val="00E83F27"/>
    <w:rsid w:val="00E842C4"/>
    <w:rsid w:val="00E8795F"/>
    <w:rsid w:val="00E903C7"/>
    <w:rsid w:val="00E93210"/>
    <w:rsid w:val="00E937D6"/>
    <w:rsid w:val="00E94B7F"/>
    <w:rsid w:val="00E96FBD"/>
    <w:rsid w:val="00EA04AB"/>
    <w:rsid w:val="00EA1B2E"/>
    <w:rsid w:val="00EA1E49"/>
    <w:rsid w:val="00EA34E4"/>
    <w:rsid w:val="00EA6579"/>
    <w:rsid w:val="00EA7022"/>
    <w:rsid w:val="00EB08B8"/>
    <w:rsid w:val="00EB1033"/>
    <w:rsid w:val="00EB2249"/>
    <w:rsid w:val="00EB2670"/>
    <w:rsid w:val="00EB300D"/>
    <w:rsid w:val="00EB4CB9"/>
    <w:rsid w:val="00EB4E1A"/>
    <w:rsid w:val="00EB613C"/>
    <w:rsid w:val="00EB7368"/>
    <w:rsid w:val="00EB7458"/>
    <w:rsid w:val="00EB790F"/>
    <w:rsid w:val="00EC00A2"/>
    <w:rsid w:val="00EC0AFF"/>
    <w:rsid w:val="00EC1666"/>
    <w:rsid w:val="00EC3471"/>
    <w:rsid w:val="00EC3C04"/>
    <w:rsid w:val="00EC3F3A"/>
    <w:rsid w:val="00EC5562"/>
    <w:rsid w:val="00EC5819"/>
    <w:rsid w:val="00EC7D22"/>
    <w:rsid w:val="00ED0B30"/>
    <w:rsid w:val="00ED2108"/>
    <w:rsid w:val="00ED2F87"/>
    <w:rsid w:val="00ED2FD6"/>
    <w:rsid w:val="00ED40D6"/>
    <w:rsid w:val="00ED4725"/>
    <w:rsid w:val="00ED4BFC"/>
    <w:rsid w:val="00ED517D"/>
    <w:rsid w:val="00ED51F0"/>
    <w:rsid w:val="00ED5B11"/>
    <w:rsid w:val="00ED70C2"/>
    <w:rsid w:val="00ED7471"/>
    <w:rsid w:val="00EE2238"/>
    <w:rsid w:val="00EE3BBB"/>
    <w:rsid w:val="00EE43F4"/>
    <w:rsid w:val="00EE526E"/>
    <w:rsid w:val="00EE6603"/>
    <w:rsid w:val="00EE6B75"/>
    <w:rsid w:val="00EF15D3"/>
    <w:rsid w:val="00EF22A4"/>
    <w:rsid w:val="00EF2B4E"/>
    <w:rsid w:val="00EF39D7"/>
    <w:rsid w:val="00EF41B5"/>
    <w:rsid w:val="00EF4E7F"/>
    <w:rsid w:val="00EF5A4E"/>
    <w:rsid w:val="00EF5F6B"/>
    <w:rsid w:val="00EF62C7"/>
    <w:rsid w:val="00EF6504"/>
    <w:rsid w:val="00EF67F2"/>
    <w:rsid w:val="00EF687E"/>
    <w:rsid w:val="00EF7950"/>
    <w:rsid w:val="00EF7E4C"/>
    <w:rsid w:val="00F00046"/>
    <w:rsid w:val="00F00B59"/>
    <w:rsid w:val="00F00C42"/>
    <w:rsid w:val="00F00F4B"/>
    <w:rsid w:val="00F02A48"/>
    <w:rsid w:val="00F02CC6"/>
    <w:rsid w:val="00F05F72"/>
    <w:rsid w:val="00F05F92"/>
    <w:rsid w:val="00F0622E"/>
    <w:rsid w:val="00F06512"/>
    <w:rsid w:val="00F06806"/>
    <w:rsid w:val="00F06ABD"/>
    <w:rsid w:val="00F07BF8"/>
    <w:rsid w:val="00F11D1F"/>
    <w:rsid w:val="00F11EEF"/>
    <w:rsid w:val="00F12492"/>
    <w:rsid w:val="00F138DE"/>
    <w:rsid w:val="00F13A20"/>
    <w:rsid w:val="00F14502"/>
    <w:rsid w:val="00F14811"/>
    <w:rsid w:val="00F15340"/>
    <w:rsid w:val="00F1565F"/>
    <w:rsid w:val="00F15711"/>
    <w:rsid w:val="00F158DE"/>
    <w:rsid w:val="00F2098F"/>
    <w:rsid w:val="00F21089"/>
    <w:rsid w:val="00F21331"/>
    <w:rsid w:val="00F21AEA"/>
    <w:rsid w:val="00F2208F"/>
    <w:rsid w:val="00F221D8"/>
    <w:rsid w:val="00F227A5"/>
    <w:rsid w:val="00F2456D"/>
    <w:rsid w:val="00F314A8"/>
    <w:rsid w:val="00F317A9"/>
    <w:rsid w:val="00F322FD"/>
    <w:rsid w:val="00F32516"/>
    <w:rsid w:val="00F32831"/>
    <w:rsid w:val="00F336DD"/>
    <w:rsid w:val="00F34DFA"/>
    <w:rsid w:val="00F34FE5"/>
    <w:rsid w:val="00F359C1"/>
    <w:rsid w:val="00F373AF"/>
    <w:rsid w:val="00F40E96"/>
    <w:rsid w:val="00F413F1"/>
    <w:rsid w:val="00F4181C"/>
    <w:rsid w:val="00F4269D"/>
    <w:rsid w:val="00F4380B"/>
    <w:rsid w:val="00F43CE4"/>
    <w:rsid w:val="00F4591F"/>
    <w:rsid w:val="00F46B1E"/>
    <w:rsid w:val="00F47ECD"/>
    <w:rsid w:val="00F50071"/>
    <w:rsid w:val="00F503D4"/>
    <w:rsid w:val="00F508AD"/>
    <w:rsid w:val="00F51962"/>
    <w:rsid w:val="00F52571"/>
    <w:rsid w:val="00F52FD7"/>
    <w:rsid w:val="00F5349C"/>
    <w:rsid w:val="00F54BDB"/>
    <w:rsid w:val="00F55346"/>
    <w:rsid w:val="00F554A8"/>
    <w:rsid w:val="00F55E52"/>
    <w:rsid w:val="00F55E88"/>
    <w:rsid w:val="00F567CB"/>
    <w:rsid w:val="00F56E63"/>
    <w:rsid w:val="00F573C0"/>
    <w:rsid w:val="00F57D2F"/>
    <w:rsid w:val="00F60290"/>
    <w:rsid w:val="00F604A1"/>
    <w:rsid w:val="00F61A63"/>
    <w:rsid w:val="00F6202B"/>
    <w:rsid w:val="00F63B01"/>
    <w:rsid w:val="00F65144"/>
    <w:rsid w:val="00F6585B"/>
    <w:rsid w:val="00F66040"/>
    <w:rsid w:val="00F70307"/>
    <w:rsid w:val="00F71E04"/>
    <w:rsid w:val="00F71F9C"/>
    <w:rsid w:val="00F7217C"/>
    <w:rsid w:val="00F72975"/>
    <w:rsid w:val="00F73C70"/>
    <w:rsid w:val="00F73EB4"/>
    <w:rsid w:val="00F74B9F"/>
    <w:rsid w:val="00F75523"/>
    <w:rsid w:val="00F76132"/>
    <w:rsid w:val="00F7672A"/>
    <w:rsid w:val="00F76ADC"/>
    <w:rsid w:val="00F77141"/>
    <w:rsid w:val="00F77ADD"/>
    <w:rsid w:val="00F80200"/>
    <w:rsid w:val="00F807EB"/>
    <w:rsid w:val="00F812F5"/>
    <w:rsid w:val="00F81699"/>
    <w:rsid w:val="00F81D8C"/>
    <w:rsid w:val="00F83DF1"/>
    <w:rsid w:val="00F8415A"/>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61CB"/>
    <w:rsid w:val="00F972EC"/>
    <w:rsid w:val="00F97A28"/>
    <w:rsid w:val="00F97A57"/>
    <w:rsid w:val="00FA1165"/>
    <w:rsid w:val="00FA138B"/>
    <w:rsid w:val="00FA150E"/>
    <w:rsid w:val="00FA1849"/>
    <w:rsid w:val="00FA27B6"/>
    <w:rsid w:val="00FA2A68"/>
    <w:rsid w:val="00FA2B13"/>
    <w:rsid w:val="00FA2DAC"/>
    <w:rsid w:val="00FA3F9C"/>
    <w:rsid w:val="00FA4B45"/>
    <w:rsid w:val="00FA5AB8"/>
    <w:rsid w:val="00FA62B0"/>
    <w:rsid w:val="00FA65B0"/>
    <w:rsid w:val="00FA6BDE"/>
    <w:rsid w:val="00FA6D0C"/>
    <w:rsid w:val="00FA6F51"/>
    <w:rsid w:val="00FA7445"/>
    <w:rsid w:val="00FB0E43"/>
    <w:rsid w:val="00FB0F47"/>
    <w:rsid w:val="00FC00C4"/>
    <w:rsid w:val="00FC05A0"/>
    <w:rsid w:val="00FC0B30"/>
    <w:rsid w:val="00FC14F9"/>
    <w:rsid w:val="00FC21DD"/>
    <w:rsid w:val="00FC2C4E"/>
    <w:rsid w:val="00FC3FA4"/>
    <w:rsid w:val="00FC4AEB"/>
    <w:rsid w:val="00FC56F2"/>
    <w:rsid w:val="00FC6624"/>
    <w:rsid w:val="00FC7B10"/>
    <w:rsid w:val="00FD0249"/>
    <w:rsid w:val="00FD17BD"/>
    <w:rsid w:val="00FD428F"/>
    <w:rsid w:val="00FD47ED"/>
    <w:rsid w:val="00FD60DC"/>
    <w:rsid w:val="00FD6794"/>
    <w:rsid w:val="00FD6A9D"/>
    <w:rsid w:val="00FE282B"/>
    <w:rsid w:val="00FE2E69"/>
    <w:rsid w:val="00FE2E91"/>
    <w:rsid w:val="00FE37E4"/>
    <w:rsid w:val="00FE4086"/>
    <w:rsid w:val="00FE427D"/>
    <w:rsid w:val="00FE4FA9"/>
    <w:rsid w:val="00FE5DFA"/>
    <w:rsid w:val="00FE5F34"/>
    <w:rsid w:val="00FE640C"/>
    <w:rsid w:val="00FE790A"/>
    <w:rsid w:val="00FE7A47"/>
    <w:rsid w:val="00FF17C2"/>
    <w:rsid w:val="00FF1DA6"/>
    <w:rsid w:val="00FF2544"/>
    <w:rsid w:val="00FF36A1"/>
    <w:rsid w:val="00FF412B"/>
    <w:rsid w:val="00FF5A39"/>
    <w:rsid w:val="00FF6027"/>
    <w:rsid w:val="00FF6C51"/>
    <w:rsid w:val="00FF700A"/>
    <w:rsid w:val="00FF7AF8"/>
    <w:rsid w:val="031240AD"/>
    <w:rsid w:val="0448614B"/>
    <w:rsid w:val="049D3B67"/>
    <w:rsid w:val="06293905"/>
    <w:rsid w:val="090E20D9"/>
    <w:rsid w:val="0B9220CC"/>
    <w:rsid w:val="0DF4730E"/>
    <w:rsid w:val="0E762BAA"/>
    <w:rsid w:val="0EF4656E"/>
    <w:rsid w:val="0EFB5B31"/>
    <w:rsid w:val="0FBD64BA"/>
    <w:rsid w:val="10274686"/>
    <w:rsid w:val="1144543F"/>
    <w:rsid w:val="11CA37D9"/>
    <w:rsid w:val="11F11203"/>
    <w:rsid w:val="12042B55"/>
    <w:rsid w:val="138E5DF7"/>
    <w:rsid w:val="15442DF3"/>
    <w:rsid w:val="16CF7BB0"/>
    <w:rsid w:val="17B76B1F"/>
    <w:rsid w:val="1DA461EC"/>
    <w:rsid w:val="21AE4AB0"/>
    <w:rsid w:val="23A96958"/>
    <w:rsid w:val="250F4AD4"/>
    <w:rsid w:val="26BD5C77"/>
    <w:rsid w:val="27F7533C"/>
    <w:rsid w:val="2A4516AE"/>
    <w:rsid w:val="2AA66EA9"/>
    <w:rsid w:val="2AA81243"/>
    <w:rsid w:val="2B882F54"/>
    <w:rsid w:val="2C0A19D5"/>
    <w:rsid w:val="2D1C1AE4"/>
    <w:rsid w:val="2E5664A9"/>
    <w:rsid w:val="2FDB6F0B"/>
    <w:rsid w:val="329D67A6"/>
    <w:rsid w:val="330B604A"/>
    <w:rsid w:val="358209C5"/>
    <w:rsid w:val="359A2A37"/>
    <w:rsid w:val="35ED07E4"/>
    <w:rsid w:val="36265F75"/>
    <w:rsid w:val="3C281E89"/>
    <w:rsid w:val="3CB334F0"/>
    <w:rsid w:val="3CF74CA1"/>
    <w:rsid w:val="3D0C11C4"/>
    <w:rsid w:val="3DF107A1"/>
    <w:rsid w:val="4219345F"/>
    <w:rsid w:val="424F1897"/>
    <w:rsid w:val="435A3857"/>
    <w:rsid w:val="45D90B8A"/>
    <w:rsid w:val="484E461F"/>
    <w:rsid w:val="48740510"/>
    <w:rsid w:val="48BE5773"/>
    <w:rsid w:val="4B50680B"/>
    <w:rsid w:val="4CD9647E"/>
    <w:rsid w:val="4E5321ED"/>
    <w:rsid w:val="4E7F5FBD"/>
    <w:rsid w:val="561843C9"/>
    <w:rsid w:val="56B34ED2"/>
    <w:rsid w:val="580A03C0"/>
    <w:rsid w:val="5C406EE6"/>
    <w:rsid w:val="5EEA20AD"/>
    <w:rsid w:val="5F586378"/>
    <w:rsid w:val="61151C31"/>
    <w:rsid w:val="63355A58"/>
    <w:rsid w:val="66513968"/>
    <w:rsid w:val="666958FB"/>
    <w:rsid w:val="66914470"/>
    <w:rsid w:val="66AB0E1A"/>
    <w:rsid w:val="66AD6911"/>
    <w:rsid w:val="676715ED"/>
    <w:rsid w:val="6A5F5B63"/>
    <w:rsid w:val="6A9B6DCB"/>
    <w:rsid w:val="6D0B2F14"/>
    <w:rsid w:val="6DA73BD8"/>
    <w:rsid w:val="6F940A73"/>
    <w:rsid w:val="701C527A"/>
    <w:rsid w:val="71163EF3"/>
    <w:rsid w:val="72A731A1"/>
    <w:rsid w:val="73213A4A"/>
    <w:rsid w:val="73B02BC5"/>
    <w:rsid w:val="772C3252"/>
    <w:rsid w:val="79DC7338"/>
    <w:rsid w:val="7B5C76F4"/>
    <w:rsid w:val="7B674B8A"/>
    <w:rsid w:val="7B8F1359"/>
    <w:rsid w:val="7D5E727E"/>
    <w:rsid w:val="7E6165B1"/>
    <w:rsid w:val="7F9D2EA8"/>
    <w:rsid w:val="7FA2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jc w:val="center"/>
      <w:outlineLvl w:val="0"/>
    </w:pPr>
    <w:rPr>
      <w:b/>
      <w:bCs/>
      <w:sz w:val="24"/>
    </w:rPr>
  </w:style>
  <w:style w:type="paragraph" w:styleId="5">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8"/>
    <w:qFormat/>
    <w:uiPriority w:val="0"/>
    <w:pPr>
      <w:keepNext/>
      <w:keepLines/>
      <w:spacing w:before="280" w:after="290" w:line="376" w:lineRule="auto"/>
      <w:outlineLvl w:val="4"/>
    </w:pPr>
    <w:rPr>
      <w:b/>
      <w:bCs/>
      <w:sz w:val="28"/>
      <w:szCs w:val="28"/>
    </w:rPr>
  </w:style>
  <w:style w:type="paragraph" w:styleId="9">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link w:val="50"/>
    <w:qFormat/>
    <w:uiPriority w:val="0"/>
    <w:pPr>
      <w:spacing w:after="120"/>
    </w:pPr>
    <w:rPr>
      <w:sz w:val="28"/>
    </w:rPr>
  </w:style>
  <w:style w:type="paragraph" w:styleId="10">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11">
    <w:name w:val="Normal Indent"/>
    <w:basedOn w:val="1"/>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semiHidden/>
    <w:qFormat/>
    <w:uiPriority w:val="0"/>
    <w:pPr>
      <w:jc w:val="left"/>
    </w:pPr>
  </w:style>
  <w:style w:type="paragraph" w:styleId="15">
    <w:name w:val="Body Text 3"/>
    <w:basedOn w:val="1"/>
    <w:link w:val="49"/>
    <w:qFormat/>
    <w:uiPriority w:val="0"/>
    <w:pPr>
      <w:snapToGrid w:val="0"/>
      <w:spacing w:before="50" w:after="50"/>
    </w:pPr>
    <w:rPr>
      <w:rFonts w:hAnsi="宋体" w:eastAsia="仿宋_GB2312"/>
      <w:b/>
      <w:bCs/>
      <w:sz w:val="24"/>
      <w:szCs w:val="20"/>
    </w:rPr>
  </w:style>
  <w:style w:type="paragraph" w:styleId="16">
    <w:name w:val="Body Text Indent"/>
    <w:basedOn w:val="1"/>
    <w:qFormat/>
    <w:uiPriority w:val="0"/>
    <w:pPr>
      <w:spacing w:line="200" w:lineRule="exact"/>
      <w:ind w:firstLine="301"/>
    </w:pPr>
    <w:rPr>
      <w:rFonts w:ascii="宋体" w:hAnsi="Courier New"/>
      <w:spacing w:val="-4"/>
      <w:sz w:val="18"/>
      <w:szCs w:val="20"/>
    </w:rPr>
  </w:style>
  <w:style w:type="paragraph" w:styleId="17">
    <w:name w:val="List Number 3"/>
    <w:basedOn w:val="1"/>
    <w:qFormat/>
    <w:uiPriority w:val="0"/>
    <w:pPr>
      <w:numPr>
        <w:ilvl w:val="0"/>
        <w:numId w:val="2"/>
      </w:numPr>
    </w:pPr>
  </w:style>
  <w:style w:type="paragraph" w:styleId="18">
    <w:name w:val="List 2"/>
    <w:basedOn w:val="1"/>
    <w:qFormat/>
    <w:uiPriority w:val="0"/>
    <w:pPr>
      <w:ind w:left="100" w:leftChars="200" w:hanging="200" w:hangingChars="200"/>
    </w:pPr>
    <w:rPr>
      <w:sz w:val="28"/>
    </w:rPr>
  </w:style>
  <w:style w:type="paragraph" w:styleId="19">
    <w:name w:val="toc 3"/>
    <w:basedOn w:val="1"/>
    <w:next w:val="1"/>
    <w:qFormat/>
    <w:uiPriority w:val="0"/>
    <w:pPr>
      <w:ind w:left="840" w:leftChars="400"/>
    </w:pPr>
    <w:rPr>
      <w:rFonts w:ascii="Calibri" w:hAnsi="Calibri"/>
      <w:szCs w:val="22"/>
    </w:rPr>
  </w:style>
  <w:style w:type="paragraph" w:styleId="20">
    <w:name w:val="Plain Text"/>
    <w:basedOn w:val="1"/>
    <w:link w:val="51"/>
    <w:qFormat/>
    <w:uiPriority w:val="0"/>
    <w:pPr>
      <w:spacing w:beforeLines="50" w:afterLines="50" w:line="400" w:lineRule="exact"/>
    </w:pPr>
    <w:rPr>
      <w:rFonts w:ascii="宋体" w:hAnsi="Courier New"/>
      <w:sz w:val="24"/>
    </w:rPr>
  </w:style>
  <w:style w:type="paragraph" w:styleId="21">
    <w:name w:val="Date"/>
    <w:basedOn w:val="1"/>
    <w:next w:val="1"/>
    <w:link w:val="52"/>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3"/>
    <w:semiHidden/>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rFonts w:eastAsia="黑体"/>
      <w:snapToGrid w:val="0"/>
      <w:kern w:val="0"/>
      <w:sz w:val="18"/>
      <w:szCs w:val="18"/>
    </w:rPr>
  </w:style>
  <w:style w:type="paragraph" w:styleId="25">
    <w:name w:val="header"/>
    <w:basedOn w:val="1"/>
    <w:link w:val="5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6">
    <w:name w:val="toc 1"/>
    <w:basedOn w:val="1"/>
    <w:next w:val="1"/>
    <w:semiHidden/>
    <w:qFormat/>
    <w:uiPriority w:val="0"/>
  </w:style>
  <w:style w:type="paragraph" w:styleId="27">
    <w:name w:val="List"/>
    <w:basedOn w:val="1"/>
    <w:qFormat/>
    <w:uiPriority w:val="0"/>
    <w:pPr>
      <w:ind w:left="200" w:hanging="200" w:hangingChars="200"/>
    </w:pPr>
    <w:rPr>
      <w:sz w:val="28"/>
    </w:rPr>
  </w:style>
  <w:style w:type="paragraph" w:styleId="28">
    <w:name w:val="List 5"/>
    <w:basedOn w:val="1"/>
    <w:qFormat/>
    <w:uiPriority w:val="0"/>
    <w:pPr>
      <w:ind w:left="2100" w:hanging="420"/>
    </w:pPr>
    <w:rPr>
      <w:rFonts w:ascii="Calibri" w:hAnsi="Calibri" w:eastAsia="楷体_GB2312"/>
      <w:sz w:val="32"/>
      <w:szCs w:val="22"/>
    </w:r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qFormat/>
    <w:uiPriority w:val="0"/>
    <w:pPr>
      <w:ind w:left="420" w:leftChars="200"/>
    </w:pPr>
    <w:rPr>
      <w:rFonts w:ascii="Calibri" w:hAnsi="Calibri"/>
      <w:szCs w:val="22"/>
    </w:rPr>
  </w:style>
  <w:style w:type="paragraph" w:styleId="3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2">
    <w:name w:val="List 4"/>
    <w:basedOn w:val="1"/>
    <w:qFormat/>
    <w:uiPriority w:val="0"/>
    <w:pPr>
      <w:ind w:left="1680" w:hanging="420"/>
    </w:pPr>
    <w:rPr>
      <w:rFonts w:ascii="Calibri" w:hAnsi="Calibri" w:eastAsia="楷体_GB2312"/>
      <w:sz w:val="32"/>
      <w:szCs w:val="22"/>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Title"/>
    <w:basedOn w:val="1"/>
    <w:next w:val="1"/>
    <w:qFormat/>
    <w:uiPriority w:val="0"/>
    <w:pPr>
      <w:spacing w:line="520" w:lineRule="exact"/>
      <w:jc w:val="center"/>
      <w:outlineLvl w:val="3"/>
    </w:pPr>
    <w:rPr>
      <w:rFonts w:ascii="Cambria" w:hAnsi="Cambria"/>
      <w:b/>
      <w:bCs/>
      <w:sz w:val="28"/>
      <w:szCs w:val="32"/>
    </w:rPr>
  </w:style>
  <w:style w:type="paragraph" w:styleId="36">
    <w:name w:val="annotation subject"/>
    <w:basedOn w:val="14"/>
    <w:next w:val="14"/>
    <w:qFormat/>
    <w:uiPriority w:val="0"/>
    <w:rPr>
      <w:b/>
      <w:bCs/>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eastAsia="宋体"/>
      <w:b/>
      <w:bCs/>
      <w:kern w:val="2"/>
      <w:sz w:val="24"/>
      <w:szCs w:val="24"/>
      <w:lang w:val="en-US" w:eastAsia="zh-CN" w:bidi="ar-SA"/>
    </w:rPr>
  </w:style>
  <w:style w:type="character" w:styleId="41">
    <w:name w:val="page number"/>
    <w:qFormat/>
    <w:uiPriority w:val="0"/>
  </w:style>
  <w:style w:type="character" w:styleId="42">
    <w:name w:val="FollowedHyperlink"/>
    <w:qFormat/>
    <w:uiPriority w:val="0"/>
    <w:rPr>
      <w:rFonts w:eastAsia="宋体"/>
      <w:color w:val="800080"/>
      <w:kern w:val="2"/>
      <w:sz w:val="24"/>
      <w:szCs w:val="24"/>
      <w:u w:val="single"/>
      <w:lang w:val="en-US" w:eastAsia="zh-CN" w:bidi="ar-SA"/>
    </w:rPr>
  </w:style>
  <w:style w:type="character" w:styleId="43">
    <w:name w:val="Hyperlink"/>
    <w:qFormat/>
    <w:uiPriority w:val="0"/>
    <w:rPr>
      <w:color w:val="0000FF"/>
      <w:u w:val="single"/>
    </w:rPr>
  </w:style>
  <w:style w:type="character" w:styleId="44">
    <w:name w:val="annotation reference"/>
    <w:qFormat/>
    <w:uiPriority w:val="0"/>
    <w:rPr>
      <w:rFonts w:eastAsia="宋体"/>
      <w:kern w:val="2"/>
      <w:sz w:val="21"/>
      <w:szCs w:val="21"/>
      <w:lang w:val="en-US" w:eastAsia="zh-CN" w:bidi="ar-SA"/>
    </w:rPr>
  </w:style>
  <w:style w:type="character" w:customStyle="1" w:styleId="45">
    <w:name w:val="标题 1 字符"/>
    <w:link w:val="4"/>
    <w:qFormat/>
    <w:uiPriority w:val="0"/>
    <w:rPr>
      <w:rFonts w:eastAsia="宋体"/>
      <w:b/>
      <w:bCs/>
      <w:kern w:val="2"/>
      <w:sz w:val="24"/>
      <w:szCs w:val="24"/>
      <w:lang w:val="en-US" w:eastAsia="zh-CN" w:bidi="ar-SA"/>
    </w:rPr>
  </w:style>
  <w:style w:type="character" w:customStyle="1" w:styleId="46">
    <w:name w:val="标题 2 字符"/>
    <w:link w:val="5"/>
    <w:qFormat/>
    <w:uiPriority w:val="0"/>
    <w:rPr>
      <w:rFonts w:ascii="Arial" w:hAnsi="Arial" w:eastAsia="黑体"/>
      <w:b/>
      <w:bCs/>
      <w:kern w:val="2"/>
      <w:sz w:val="32"/>
      <w:szCs w:val="32"/>
      <w:lang w:val="en-US" w:eastAsia="zh-CN" w:bidi="ar-SA"/>
    </w:rPr>
  </w:style>
  <w:style w:type="character" w:customStyle="1" w:styleId="47">
    <w:name w:val="标题 3 字符"/>
    <w:link w:val="6"/>
    <w:qFormat/>
    <w:uiPriority w:val="0"/>
    <w:rPr>
      <w:rFonts w:eastAsia="宋体"/>
      <w:b/>
      <w:bCs/>
      <w:kern w:val="2"/>
      <w:sz w:val="32"/>
      <w:szCs w:val="32"/>
      <w:lang w:val="en-US" w:eastAsia="zh-CN" w:bidi="ar-SA"/>
    </w:rPr>
  </w:style>
  <w:style w:type="character" w:customStyle="1" w:styleId="48">
    <w:name w:val="标题 5 字符"/>
    <w:link w:val="8"/>
    <w:qFormat/>
    <w:uiPriority w:val="0"/>
    <w:rPr>
      <w:rFonts w:eastAsia="宋体"/>
      <w:b/>
      <w:bCs/>
      <w:kern w:val="2"/>
      <w:sz w:val="28"/>
      <w:szCs w:val="28"/>
      <w:lang w:val="en-US" w:eastAsia="zh-CN" w:bidi="ar-SA"/>
    </w:rPr>
  </w:style>
  <w:style w:type="character" w:customStyle="1" w:styleId="49">
    <w:name w:val="正文文本 3 字符"/>
    <w:link w:val="15"/>
    <w:qFormat/>
    <w:uiPriority w:val="0"/>
    <w:rPr>
      <w:rFonts w:hAnsi="宋体" w:eastAsia="仿宋_GB2312"/>
      <w:b/>
      <w:bCs/>
      <w:kern w:val="2"/>
      <w:sz w:val="24"/>
      <w:lang w:val="en-US" w:eastAsia="zh-CN" w:bidi="ar-SA"/>
    </w:rPr>
  </w:style>
  <w:style w:type="character" w:customStyle="1" w:styleId="50">
    <w:name w:val="正文文本 字符"/>
    <w:link w:val="3"/>
    <w:semiHidden/>
    <w:qFormat/>
    <w:locked/>
    <w:uiPriority w:val="0"/>
    <w:rPr>
      <w:rFonts w:eastAsia="宋体"/>
      <w:kern w:val="2"/>
      <w:sz w:val="28"/>
      <w:szCs w:val="24"/>
      <w:lang w:val="en-US" w:eastAsia="zh-CN" w:bidi="ar-SA"/>
    </w:rPr>
  </w:style>
  <w:style w:type="character" w:customStyle="1" w:styleId="51">
    <w:name w:val="纯文本 字符"/>
    <w:link w:val="20"/>
    <w:qFormat/>
    <w:uiPriority w:val="0"/>
    <w:rPr>
      <w:rFonts w:ascii="宋体" w:hAnsi="Courier New" w:eastAsia="宋体"/>
      <w:kern w:val="2"/>
      <w:sz w:val="24"/>
      <w:szCs w:val="24"/>
      <w:lang w:val="en-US" w:eastAsia="zh-CN" w:bidi="ar-SA"/>
    </w:rPr>
  </w:style>
  <w:style w:type="character" w:customStyle="1" w:styleId="52">
    <w:name w:val="日期 字符"/>
    <w:link w:val="21"/>
    <w:qFormat/>
    <w:uiPriority w:val="0"/>
    <w:rPr>
      <w:rFonts w:eastAsia="楷体_GB2312"/>
      <w:kern w:val="2"/>
      <w:sz w:val="32"/>
      <w:lang w:val="en-US" w:eastAsia="zh-CN" w:bidi="ar-SA"/>
    </w:rPr>
  </w:style>
  <w:style w:type="character" w:customStyle="1" w:styleId="53">
    <w:name w:val="批注框文本 字符"/>
    <w:link w:val="23"/>
    <w:semiHidden/>
    <w:qFormat/>
    <w:uiPriority w:val="0"/>
    <w:rPr>
      <w:rFonts w:eastAsia="宋体"/>
      <w:kern w:val="2"/>
      <w:sz w:val="18"/>
      <w:szCs w:val="18"/>
      <w:lang w:val="en-US" w:eastAsia="zh-CN" w:bidi="ar-SA"/>
    </w:rPr>
  </w:style>
  <w:style w:type="character" w:customStyle="1" w:styleId="54">
    <w:name w:val="页脚 字符"/>
    <w:link w:val="24"/>
    <w:qFormat/>
    <w:uiPriority w:val="99"/>
    <w:rPr>
      <w:rFonts w:eastAsia="黑体"/>
      <w:snapToGrid w:val="0"/>
      <w:sz w:val="18"/>
      <w:szCs w:val="18"/>
      <w:lang w:val="en-US" w:eastAsia="zh-CN" w:bidi="ar-SA"/>
    </w:rPr>
  </w:style>
  <w:style w:type="character" w:customStyle="1" w:styleId="55">
    <w:name w:val="页眉 字符"/>
    <w:link w:val="25"/>
    <w:qFormat/>
    <w:uiPriority w:val="0"/>
    <w:rPr>
      <w:rFonts w:eastAsia="仿宋_GB2312"/>
      <w:kern w:val="2"/>
      <w:sz w:val="18"/>
      <w:lang w:val="en-US" w:eastAsia="zh-CN" w:bidi="ar-SA"/>
    </w:rPr>
  </w:style>
  <w:style w:type="character" w:customStyle="1" w:styleId="56">
    <w:name w:val="样式1 Char"/>
    <w:qFormat/>
    <w:uiPriority w:val="0"/>
    <w:rPr>
      <w:rFonts w:ascii="宋体" w:eastAsia="宋体"/>
      <w:kern w:val="2"/>
      <w:sz w:val="24"/>
      <w:szCs w:val="24"/>
      <w:lang w:val="en-US" w:eastAsia="zh-CN" w:bidi="ar-SA"/>
    </w:rPr>
  </w:style>
  <w:style w:type="character" w:customStyle="1" w:styleId="57">
    <w:name w:val="hui121"/>
    <w:qFormat/>
    <w:uiPriority w:val="0"/>
    <w:rPr>
      <w:rFonts w:eastAsia="宋体"/>
      <w:color w:val="333333"/>
      <w:kern w:val="2"/>
      <w:sz w:val="18"/>
      <w:szCs w:val="18"/>
      <w:lang w:val="en-US" w:eastAsia="zh-CN" w:bidi="ar-SA"/>
    </w:rPr>
  </w:style>
  <w:style w:type="character" w:customStyle="1" w:styleId="58">
    <w:name w:val="15"/>
    <w:qFormat/>
    <w:uiPriority w:val="0"/>
    <w:rPr>
      <w:rFonts w:hint="eastAsia" w:ascii="仿宋_GB2312" w:eastAsia="仿宋_GB2312"/>
      <w:color w:val="000000"/>
      <w:sz w:val="20"/>
      <w:szCs w:val="20"/>
    </w:rPr>
  </w:style>
  <w:style w:type="character" w:customStyle="1" w:styleId="59">
    <w:name w:val="class4"/>
    <w:qFormat/>
    <w:uiPriority w:val="0"/>
  </w:style>
  <w:style w:type="character" w:customStyle="1" w:styleId="60">
    <w:name w:val="Char Char21"/>
    <w:qFormat/>
    <w:uiPriority w:val="0"/>
    <w:rPr>
      <w:rFonts w:ascii="宋体" w:hAnsi="Courier New" w:eastAsia="宋体" w:cs="宋体"/>
      <w:kern w:val="2"/>
      <w:sz w:val="21"/>
      <w:szCs w:val="21"/>
      <w:lang w:val="en-US" w:eastAsia="zh-CN" w:bidi="ar-SA"/>
    </w:rPr>
  </w:style>
  <w:style w:type="character" w:customStyle="1" w:styleId="61">
    <w:name w:val="label_list1"/>
    <w:qFormat/>
    <w:uiPriority w:val="0"/>
  </w:style>
  <w:style w:type="character" w:customStyle="1" w:styleId="62">
    <w:name w:val="class3"/>
    <w:qFormat/>
    <w:uiPriority w:val="0"/>
  </w:style>
  <w:style w:type="character" w:customStyle="1" w:styleId="63">
    <w:name w:val="ca-511"/>
    <w:qFormat/>
    <w:uiPriority w:val="0"/>
    <w:rPr>
      <w:rFonts w:hint="default" w:ascii="Times New Roman" w:hAnsi="Times New Roman" w:cs="Times New Roman"/>
      <w:b/>
      <w:bCs/>
      <w:color w:val="000000"/>
      <w:spacing w:val="-20"/>
      <w:sz w:val="32"/>
      <w:szCs w:val="32"/>
    </w:rPr>
  </w:style>
  <w:style w:type="character" w:customStyle="1" w:styleId="64">
    <w:name w:val="style41"/>
    <w:qFormat/>
    <w:uiPriority w:val="0"/>
    <w:rPr>
      <w:sz w:val="18"/>
      <w:szCs w:val="18"/>
    </w:rPr>
  </w:style>
  <w:style w:type="character" w:customStyle="1" w:styleId="65">
    <w:name w:val="Char Char11"/>
    <w:qFormat/>
    <w:uiPriority w:val="0"/>
    <w:rPr>
      <w:rFonts w:eastAsia="宋体"/>
      <w:kern w:val="2"/>
      <w:sz w:val="18"/>
      <w:lang w:val="en-US" w:eastAsia="zh-CN" w:bidi="ar-SA"/>
    </w:rPr>
  </w:style>
  <w:style w:type="character" w:customStyle="1" w:styleId="66">
    <w:name w:val="List Paragraph Char"/>
    <w:link w:val="67"/>
    <w:qFormat/>
    <w:locked/>
    <w:uiPriority w:val="0"/>
    <w:rPr>
      <w:rFonts w:eastAsia="宋体"/>
      <w:kern w:val="2"/>
      <w:sz w:val="21"/>
      <w:szCs w:val="24"/>
      <w:lang w:val="en-US" w:eastAsia="zh-CN" w:bidi="ar-SA"/>
    </w:rPr>
  </w:style>
  <w:style w:type="paragraph" w:customStyle="1" w:styleId="67">
    <w:name w:val="List Paragraph1"/>
    <w:basedOn w:val="1"/>
    <w:link w:val="66"/>
    <w:qFormat/>
    <w:uiPriority w:val="0"/>
    <w:pPr>
      <w:ind w:firstLine="420" w:firstLineChars="200"/>
    </w:pPr>
  </w:style>
  <w:style w:type="character" w:customStyle="1" w:styleId="68">
    <w:name w:val="普通文字 Char Char1"/>
    <w:qFormat/>
    <w:uiPriority w:val="0"/>
    <w:rPr>
      <w:rFonts w:ascii="宋体" w:hAnsi="Courier New"/>
      <w:kern w:val="2"/>
      <w:sz w:val="24"/>
      <w:szCs w:val="24"/>
    </w:rPr>
  </w:style>
  <w:style w:type="character" w:customStyle="1" w:styleId="69">
    <w:name w:val="ca-3"/>
    <w:qFormat/>
    <w:uiPriority w:val="0"/>
    <w:rPr>
      <w:rFonts w:eastAsia="宋体"/>
      <w:kern w:val="2"/>
      <w:sz w:val="24"/>
      <w:szCs w:val="24"/>
      <w:lang w:val="en-US" w:eastAsia="zh-CN" w:bidi="ar-SA"/>
    </w:rPr>
  </w:style>
  <w:style w:type="character" w:customStyle="1" w:styleId="70">
    <w:name w:val="zbggmain style9"/>
    <w:qFormat/>
    <w:uiPriority w:val="0"/>
  </w:style>
  <w:style w:type="character" w:customStyle="1" w:styleId="71">
    <w:name w:val="页脚 Char Char"/>
    <w:qFormat/>
    <w:uiPriority w:val="0"/>
    <w:rPr>
      <w:kern w:val="2"/>
      <w:sz w:val="18"/>
      <w:szCs w:val="18"/>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76">
    <w:name w:val="p0"/>
    <w:basedOn w:val="1"/>
    <w:qFormat/>
    <w:uiPriority w:val="0"/>
    <w:pPr>
      <w:widowControl/>
    </w:pPr>
    <w:rPr>
      <w:kern w:val="0"/>
      <w:szCs w:val="21"/>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79">
    <w:name w:val="TOC 标题2"/>
    <w:basedOn w:val="4"/>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Char Char Char"/>
    <w:basedOn w:val="1"/>
    <w:qFormat/>
    <w:uiPriority w:val="0"/>
    <w:rPr>
      <w:rFonts w:ascii="Calibri" w:hAnsi="Calibri"/>
      <w:szCs w:val="22"/>
    </w:rPr>
  </w:style>
  <w:style w:type="paragraph" w:customStyle="1" w:styleId="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85">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86">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7">
    <w:name w:val="标题B"/>
    <w:basedOn w:val="5"/>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8">
    <w:name w:val="Char Char Char Char Char Char"/>
    <w:basedOn w:val="1"/>
    <w:qFormat/>
    <w:uiPriority w:val="0"/>
    <w:rPr>
      <w:rFonts w:ascii="仿宋_GB2312" w:eastAsia="仿宋_GB2312"/>
      <w:b/>
      <w:sz w:val="32"/>
      <w:szCs w:val="32"/>
    </w:rPr>
  </w:style>
  <w:style w:type="paragraph" w:customStyle="1" w:styleId="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0">
    <w:name w:val="p18"/>
    <w:basedOn w:val="1"/>
    <w:qFormat/>
    <w:uiPriority w:val="0"/>
    <w:pPr>
      <w:widowControl/>
      <w:spacing w:line="360" w:lineRule="auto"/>
    </w:pPr>
    <w:rPr>
      <w:rFonts w:ascii="宋体" w:hAnsi="宋体" w:cs="宋体"/>
      <w:kern w:val="0"/>
      <w:sz w:val="24"/>
    </w:rPr>
  </w:style>
  <w:style w:type="paragraph" w:customStyle="1" w:styleId="91">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92">
    <w:name w:val="TOC 标题3"/>
    <w:basedOn w:val="4"/>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93">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4">
    <w:name w:val="纯文本1"/>
    <w:basedOn w:val="74"/>
    <w:qFormat/>
    <w:uiPriority w:val="0"/>
    <w:pPr>
      <w:widowControl/>
      <w:jc w:val="left"/>
    </w:pPr>
    <w:rPr>
      <w:rFonts w:ascii="宋体" w:hAnsi="Courier New"/>
    </w:rPr>
  </w:style>
  <w:style w:type="paragraph" w:customStyle="1" w:styleId="9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96">
    <w:name w:val="标题C"/>
    <w:basedOn w:val="6"/>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7">
    <w:name w:val="简单回函地址"/>
    <w:basedOn w:val="1"/>
    <w:qFormat/>
    <w:uiPriority w:val="0"/>
    <w:pPr>
      <w:adjustRightInd w:val="0"/>
      <w:spacing w:line="312" w:lineRule="atLeast"/>
      <w:textAlignment w:val="baseline"/>
    </w:pPr>
    <w:rPr>
      <w:kern w:val="0"/>
      <w:szCs w:val="20"/>
    </w:rPr>
  </w:style>
  <w:style w:type="paragraph" w:customStyle="1" w:styleId="98">
    <w:name w:val="正文段"/>
    <w:basedOn w:val="1"/>
    <w:qFormat/>
    <w:uiPriority w:val="0"/>
    <w:pPr>
      <w:widowControl/>
      <w:snapToGrid w:val="0"/>
      <w:spacing w:afterLines="50"/>
      <w:ind w:firstLine="200" w:firstLineChars="200"/>
    </w:pPr>
    <w:rPr>
      <w:kern w:val="0"/>
      <w:sz w:val="24"/>
      <w:szCs w:val="20"/>
    </w:rPr>
  </w:style>
  <w:style w:type="paragraph" w:customStyle="1" w:styleId="99">
    <w:name w:val="默认段落字体 Para Char Char Char Char"/>
    <w:basedOn w:val="1"/>
    <w:qFormat/>
    <w:uiPriority w:val="0"/>
    <w:rPr>
      <w:spacing w:val="20"/>
      <w:sz w:val="28"/>
      <w:szCs w:val="21"/>
    </w:rPr>
  </w:style>
  <w:style w:type="paragraph" w:customStyle="1" w:styleId="100">
    <w:name w:val="Char1"/>
    <w:basedOn w:val="1"/>
    <w:qFormat/>
    <w:uiPriority w:val="0"/>
    <w:pPr>
      <w:tabs>
        <w:tab w:val="left" w:pos="1200"/>
      </w:tabs>
      <w:ind w:left="1200" w:hanging="360"/>
    </w:pPr>
    <w:rPr>
      <w:sz w:val="24"/>
    </w:rPr>
  </w:style>
  <w:style w:type="paragraph" w:customStyle="1" w:styleId="10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2">
    <w:name w:val="cjk"/>
    <w:basedOn w:val="1"/>
    <w:qFormat/>
    <w:uiPriority w:val="0"/>
    <w:pPr>
      <w:widowControl/>
      <w:spacing w:line="480" w:lineRule="auto"/>
      <w:jc w:val="left"/>
    </w:pPr>
    <w:rPr>
      <w:rFonts w:ascii="宋体" w:hAnsi="宋体" w:cs="宋体"/>
      <w:kern w:val="0"/>
      <w:sz w:val="24"/>
      <w:szCs w:val="22"/>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xl7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5">
    <w:name w:val="TOC 标题1"/>
    <w:basedOn w:val="4"/>
    <w:next w:val="1"/>
    <w:unhideWhenUsed/>
    <w:qFormat/>
    <w:uiPriority w:val="0"/>
    <w:pPr>
      <w:keepLines/>
      <w:widowControl/>
      <w:spacing w:before="240" w:line="259" w:lineRule="auto"/>
      <w:jc w:val="left"/>
      <w:outlineLvl w:val="9"/>
    </w:pPr>
    <w:rPr>
      <w:rFonts w:ascii="Cambria" w:hAnsi="Cambria"/>
      <w:b w:val="0"/>
      <w:bCs w:val="0"/>
      <w:color w:val="366091"/>
      <w:kern w:val="0"/>
      <w:sz w:val="32"/>
      <w:szCs w:val="32"/>
    </w:rPr>
  </w:style>
  <w:style w:type="character" w:customStyle="1" w:styleId="106">
    <w:name w:val="纯文本 Char1"/>
    <w:qFormat/>
    <w:uiPriority w:val="0"/>
    <w:rPr>
      <w:rFonts w:ascii="宋体" w:hAnsi="Courier New" w:eastAsia="宋体" w:cs="Times New Roman"/>
      <w:sz w:val="24"/>
      <w:szCs w:val="24"/>
    </w:rPr>
  </w:style>
  <w:style w:type="character" w:customStyle="1" w:styleId="107">
    <w:name w:val="font21"/>
    <w:qFormat/>
    <w:uiPriority w:val="0"/>
    <w:rPr>
      <w:rFonts w:hint="eastAsia" w:ascii="宋体" w:hAnsi="宋体" w:eastAsia="宋体" w:cs="宋体"/>
      <w:color w:val="000000"/>
      <w:sz w:val="24"/>
      <w:szCs w:val="24"/>
      <w:u w:val="none"/>
    </w:rPr>
  </w:style>
  <w:style w:type="paragraph" w:customStyle="1" w:styleId="10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青鸟杭办</Company>
  <Pages>33</Pages>
  <Words>10520</Words>
  <Characters>11061</Characters>
  <Lines>98</Lines>
  <Paragraphs>27</Paragraphs>
  <TotalTime>25</TotalTime>
  <ScaleCrop>false</ScaleCrop>
  <LinksUpToDate>false</LinksUpToDate>
  <CharactersWithSpaces>12629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2022-05-30T08:49:00Z</dcterms:created>
  <dc:creator>黄旭明</dc:creator>
  <cp:lastModifiedBy>GXX</cp:lastModifiedBy>
  <cp:lastPrinted>2018-04-19T09:56:00Z</cp:lastPrinted>
  <dcterms:modified xsi:type="dcterms:W3CDTF">2022-06-07T08:40:56Z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9D7D2237A0C44760944FD56111D1B06C</vt:lpwstr>
  </property>
</Properties>
</file>